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17A" w:rsidRPr="00521120" w:rsidRDefault="0017554C" w:rsidP="0017554C">
      <w:pPr>
        <w:spacing w:after="0" w:line="240" w:lineRule="auto"/>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ПОВІДОМЛЕННЯ</w:t>
      </w:r>
    </w:p>
    <w:p w:rsidR="0017554C" w:rsidRPr="00521120" w:rsidRDefault="00321426" w:rsidP="0017554C">
      <w:pPr>
        <w:spacing w:after="0" w:line="240" w:lineRule="auto"/>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п</w:t>
      </w:r>
      <w:r w:rsidR="0017554C" w:rsidRPr="00521120">
        <w:rPr>
          <w:rFonts w:ascii="Times New Roman" w:hAnsi="Times New Roman" w:cs="Times New Roman"/>
          <w:sz w:val="20"/>
          <w:szCs w:val="20"/>
          <w:lang w:val="uk-UA"/>
        </w:rPr>
        <w:t xml:space="preserve">ро проведення (скликання) </w:t>
      </w:r>
      <w:r w:rsidR="00521120" w:rsidRPr="00521120">
        <w:rPr>
          <w:rFonts w:ascii="Times New Roman" w:hAnsi="Times New Roman" w:cs="Times New Roman"/>
          <w:sz w:val="20"/>
          <w:szCs w:val="20"/>
          <w:lang w:val="uk-UA"/>
        </w:rPr>
        <w:t>річн</w:t>
      </w:r>
      <w:r w:rsidR="0017554C" w:rsidRPr="00521120">
        <w:rPr>
          <w:rFonts w:ascii="Times New Roman" w:hAnsi="Times New Roman" w:cs="Times New Roman"/>
          <w:sz w:val="20"/>
          <w:szCs w:val="20"/>
          <w:lang w:val="uk-UA"/>
        </w:rPr>
        <w:t>их загальних зборів акціонерного товариства</w:t>
      </w:r>
    </w:p>
    <w:p w:rsidR="0017554C" w:rsidRPr="00521120" w:rsidRDefault="0017554C" w:rsidP="0017554C">
      <w:pPr>
        <w:spacing w:after="0" w:line="240" w:lineRule="auto"/>
        <w:jc w:val="center"/>
        <w:rPr>
          <w:rFonts w:ascii="Times New Roman" w:hAnsi="Times New Roman" w:cs="Times New Roman"/>
          <w:sz w:val="20"/>
          <w:szCs w:val="20"/>
          <w:lang w:val="uk-UA"/>
        </w:rPr>
      </w:pPr>
    </w:p>
    <w:tbl>
      <w:tblPr>
        <w:tblStyle w:val="a3"/>
        <w:tblW w:w="0" w:type="auto"/>
        <w:tblLook w:val="04A0" w:firstRow="1" w:lastRow="0" w:firstColumn="1" w:lastColumn="0" w:noHBand="0" w:noVBand="1"/>
      </w:tblPr>
      <w:tblGrid>
        <w:gridCol w:w="3685"/>
        <w:gridCol w:w="5660"/>
      </w:tblGrid>
      <w:tr w:rsidR="0017554C" w:rsidRPr="00521120" w:rsidTr="00321426">
        <w:tc>
          <w:tcPr>
            <w:tcW w:w="3685" w:type="dxa"/>
          </w:tcPr>
          <w:p w:rsidR="0017554C" w:rsidRPr="00521120" w:rsidRDefault="0017554C"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1</w:t>
            </w:r>
          </w:p>
        </w:tc>
        <w:tc>
          <w:tcPr>
            <w:tcW w:w="5660" w:type="dxa"/>
          </w:tcPr>
          <w:p w:rsidR="0017554C" w:rsidRPr="00521120" w:rsidRDefault="0017554C"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2</w:t>
            </w:r>
          </w:p>
        </w:tc>
      </w:tr>
      <w:tr w:rsidR="0017554C" w:rsidRPr="00521120" w:rsidTr="00321426">
        <w:tc>
          <w:tcPr>
            <w:tcW w:w="3685" w:type="dxa"/>
          </w:tcPr>
          <w:p w:rsidR="0017554C" w:rsidRPr="00521120" w:rsidRDefault="0017554C"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Повне найменування</w:t>
            </w:r>
          </w:p>
        </w:tc>
        <w:tc>
          <w:tcPr>
            <w:tcW w:w="5660" w:type="dxa"/>
          </w:tcPr>
          <w:p w:rsidR="0017554C" w:rsidRPr="00521120" w:rsidRDefault="00321426"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 xml:space="preserve">ПРИВАТНЕ АКЦІОНЕРНЕ ТОВАРИСТВО </w:t>
            </w:r>
            <w:r w:rsidR="0017554C" w:rsidRPr="00521120">
              <w:rPr>
                <w:rFonts w:ascii="Times New Roman" w:hAnsi="Times New Roman" w:cs="Times New Roman"/>
                <w:sz w:val="20"/>
                <w:szCs w:val="20"/>
                <w:lang w:val="uk-UA"/>
              </w:rPr>
              <w:t>«ІНВЕСТБУДСЕРВІС»</w:t>
            </w:r>
          </w:p>
        </w:tc>
      </w:tr>
      <w:tr w:rsidR="0017554C" w:rsidRPr="00521120" w:rsidTr="00321426">
        <w:tc>
          <w:tcPr>
            <w:tcW w:w="3685" w:type="dxa"/>
          </w:tcPr>
          <w:p w:rsidR="0017554C" w:rsidRPr="00521120" w:rsidRDefault="0017554C"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Ідентифікаційний код юридичної особи</w:t>
            </w:r>
          </w:p>
        </w:tc>
        <w:tc>
          <w:tcPr>
            <w:tcW w:w="5660" w:type="dxa"/>
          </w:tcPr>
          <w:p w:rsidR="0017554C" w:rsidRPr="00521120" w:rsidRDefault="0032140C"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32244833</w:t>
            </w:r>
          </w:p>
        </w:tc>
      </w:tr>
      <w:tr w:rsidR="0017554C" w:rsidRPr="00521120" w:rsidTr="00321426">
        <w:tc>
          <w:tcPr>
            <w:tcW w:w="3685" w:type="dxa"/>
          </w:tcPr>
          <w:p w:rsidR="0017554C" w:rsidRPr="00521120" w:rsidRDefault="0017554C"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 xml:space="preserve">Місцезнаходження </w:t>
            </w:r>
          </w:p>
        </w:tc>
        <w:tc>
          <w:tcPr>
            <w:tcW w:w="5660" w:type="dxa"/>
          </w:tcPr>
          <w:p w:rsidR="0017554C" w:rsidRPr="00521120" w:rsidRDefault="00AD272F"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в</w:t>
            </w:r>
            <w:r w:rsidR="0017554C" w:rsidRPr="00521120">
              <w:rPr>
                <w:rFonts w:ascii="Times New Roman" w:hAnsi="Times New Roman" w:cs="Times New Roman"/>
                <w:sz w:val="20"/>
                <w:szCs w:val="20"/>
                <w:lang w:val="uk-UA"/>
              </w:rPr>
              <w:t>ул. Святошинська, буд. 34, м. Київ, 03115, Україна</w:t>
            </w:r>
          </w:p>
        </w:tc>
      </w:tr>
      <w:tr w:rsidR="0017554C" w:rsidRPr="00521120" w:rsidTr="00321426">
        <w:tc>
          <w:tcPr>
            <w:tcW w:w="3685" w:type="dxa"/>
          </w:tcPr>
          <w:p w:rsidR="0017554C" w:rsidRPr="00521120" w:rsidRDefault="0017554C"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Дата і час проведення загальних зборів</w:t>
            </w:r>
          </w:p>
        </w:tc>
        <w:tc>
          <w:tcPr>
            <w:tcW w:w="5660" w:type="dxa"/>
          </w:tcPr>
          <w:p w:rsidR="0017554C" w:rsidRPr="00521120" w:rsidRDefault="00F51984" w:rsidP="00AD272F">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27.04.2026</w:t>
            </w:r>
            <w:r w:rsidR="00C4225B" w:rsidRPr="00521120">
              <w:rPr>
                <w:rFonts w:ascii="Times New Roman" w:hAnsi="Times New Roman" w:cs="Times New Roman"/>
                <w:sz w:val="20"/>
                <w:szCs w:val="20"/>
                <w:lang w:val="uk-UA"/>
              </w:rPr>
              <w:t xml:space="preserve"> 18</w:t>
            </w:r>
            <w:r w:rsidR="00AD272F" w:rsidRPr="00521120">
              <w:rPr>
                <w:rFonts w:ascii="Times New Roman" w:hAnsi="Times New Roman" w:cs="Times New Roman"/>
                <w:sz w:val="20"/>
                <w:szCs w:val="20"/>
                <w:lang w:val="uk-UA"/>
              </w:rPr>
              <w:t>:00</w:t>
            </w:r>
          </w:p>
        </w:tc>
      </w:tr>
      <w:tr w:rsidR="0017554C" w:rsidRPr="00521120" w:rsidTr="00321426">
        <w:tc>
          <w:tcPr>
            <w:tcW w:w="3685" w:type="dxa"/>
          </w:tcPr>
          <w:p w:rsidR="0017554C" w:rsidRPr="00521120" w:rsidRDefault="0017554C"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Спосіб проведення загальних зборів</w:t>
            </w:r>
          </w:p>
        </w:tc>
        <w:tc>
          <w:tcPr>
            <w:tcW w:w="5660" w:type="dxa"/>
          </w:tcPr>
          <w:p w:rsidR="0017554C" w:rsidRPr="00521120" w:rsidRDefault="00AD272F"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Опитуван</w:t>
            </w:r>
            <w:bookmarkStart w:id="0" w:name="_GoBack"/>
            <w:bookmarkEnd w:id="0"/>
            <w:r w:rsidRPr="00521120">
              <w:rPr>
                <w:rFonts w:ascii="Times New Roman" w:hAnsi="Times New Roman" w:cs="Times New Roman"/>
                <w:sz w:val="20"/>
                <w:szCs w:val="20"/>
                <w:lang w:val="uk-UA"/>
              </w:rPr>
              <w:t>ня (дистанційно)</w:t>
            </w:r>
          </w:p>
        </w:tc>
      </w:tr>
      <w:tr w:rsidR="0017554C" w:rsidRPr="00521120" w:rsidTr="00321426">
        <w:tc>
          <w:tcPr>
            <w:tcW w:w="3685" w:type="dxa"/>
          </w:tcPr>
          <w:p w:rsidR="0017554C" w:rsidRPr="00521120" w:rsidRDefault="0017554C"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Час початку і закінчення реєстрації акціонерів для участі у загальних зборах</w:t>
            </w:r>
          </w:p>
        </w:tc>
        <w:tc>
          <w:tcPr>
            <w:tcW w:w="5660" w:type="dxa"/>
          </w:tcPr>
          <w:p w:rsidR="0017554C" w:rsidRPr="00521120" w:rsidRDefault="0017554C" w:rsidP="0017554C">
            <w:pPr>
              <w:jc w:val="center"/>
              <w:rPr>
                <w:rFonts w:ascii="Times New Roman" w:hAnsi="Times New Roman" w:cs="Times New Roman"/>
                <w:sz w:val="20"/>
                <w:szCs w:val="20"/>
                <w:lang w:val="uk-UA"/>
              </w:rPr>
            </w:pPr>
          </w:p>
          <w:p w:rsidR="00DE2F36" w:rsidRPr="00521120" w:rsidRDefault="00DE2F36" w:rsidP="0017554C">
            <w:pPr>
              <w:jc w:val="center"/>
              <w:rPr>
                <w:rFonts w:ascii="Times New Roman" w:hAnsi="Times New Roman" w:cs="Times New Roman"/>
                <w:sz w:val="20"/>
                <w:szCs w:val="20"/>
                <w:lang w:val="uk-UA"/>
              </w:rPr>
            </w:pPr>
          </w:p>
        </w:tc>
      </w:tr>
      <w:tr w:rsidR="0017554C" w:rsidRPr="00521120" w:rsidTr="00321426">
        <w:tc>
          <w:tcPr>
            <w:tcW w:w="3685" w:type="dxa"/>
          </w:tcPr>
          <w:p w:rsidR="0017554C" w:rsidRPr="00521120" w:rsidRDefault="0017554C"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Дата складення переліку акціонерів, які мають право на участь у загальних зборах</w:t>
            </w:r>
          </w:p>
        </w:tc>
        <w:tc>
          <w:tcPr>
            <w:tcW w:w="5660" w:type="dxa"/>
          </w:tcPr>
          <w:p w:rsidR="0017554C" w:rsidRPr="00521120" w:rsidRDefault="00521120" w:rsidP="00521120">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22</w:t>
            </w:r>
            <w:r w:rsidR="00DE2F36" w:rsidRPr="00521120">
              <w:rPr>
                <w:rFonts w:ascii="Times New Roman" w:hAnsi="Times New Roman" w:cs="Times New Roman"/>
                <w:sz w:val="20"/>
                <w:szCs w:val="20"/>
                <w:lang w:val="uk-UA"/>
              </w:rPr>
              <w:t>.</w:t>
            </w:r>
            <w:r w:rsidRPr="00521120">
              <w:rPr>
                <w:rFonts w:ascii="Times New Roman" w:hAnsi="Times New Roman" w:cs="Times New Roman"/>
                <w:sz w:val="20"/>
                <w:szCs w:val="20"/>
                <w:lang w:val="uk-UA"/>
              </w:rPr>
              <w:t>04</w:t>
            </w:r>
            <w:r w:rsidR="00DE2F36" w:rsidRPr="00521120">
              <w:rPr>
                <w:rFonts w:ascii="Times New Roman" w:hAnsi="Times New Roman" w:cs="Times New Roman"/>
                <w:sz w:val="20"/>
                <w:szCs w:val="20"/>
                <w:lang w:val="uk-UA"/>
              </w:rPr>
              <w:t>.202</w:t>
            </w:r>
            <w:r w:rsidRPr="00521120">
              <w:rPr>
                <w:rFonts w:ascii="Times New Roman" w:hAnsi="Times New Roman" w:cs="Times New Roman"/>
                <w:sz w:val="20"/>
                <w:szCs w:val="20"/>
                <w:lang w:val="uk-UA"/>
              </w:rPr>
              <w:t>6</w:t>
            </w:r>
          </w:p>
        </w:tc>
      </w:tr>
      <w:tr w:rsidR="0017554C" w:rsidRPr="00521120" w:rsidTr="00321426">
        <w:tc>
          <w:tcPr>
            <w:tcW w:w="3685" w:type="dxa"/>
          </w:tcPr>
          <w:p w:rsidR="0017554C" w:rsidRPr="00521120" w:rsidRDefault="0017554C"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Проект порядку денного / порядок денний</w:t>
            </w:r>
          </w:p>
        </w:tc>
        <w:tc>
          <w:tcPr>
            <w:tcW w:w="5660" w:type="dxa"/>
          </w:tcPr>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1. Затвердження регламенту загальних зборів акціонерів Товариства.</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2. Розгляд звіту Наглядової ради Товариства за 2021 р. та прийняття рішення за наслідками розгляду звіту Наглядової ради Товариства.</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3. Розгляд звіту Наглядової ради Товариства за 2022 р. та прийняття рішення за наслідками розгляду звіту Наглядової ради Товариства.</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4. Розгляд звіту Наглядової ради Товариства за 2023 р. та прийняття рішення за наслідками розгляду звіту Наглядової ради Товариства.</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5. Розгляд звіту Наглядової ради Товариства за 2024 р. та прийняття рішення за наслідками розгляду звіту Наглядової ради Товариства.</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6. Розгляд звіту Наглядової ради Товариства за 2025 р. та прийняття рішення за наслідками розгляду звіту Наглядової ради Товариства.</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7. Розгляд звіту Голови Правління Товариства за 2021 р. та прийняття рішення за наслідками розгляду звіту Голови Правління Товариства.</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8. Розгляд звіту Голови Правління Товариства за 2022 р. та прийняття рішення за наслідками розгляду звіту Голови Правління Товариства.</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9. Розгляд звіту Голови Правління Товариства за 2023 р. та прийняття рішення за наслідками розгляду звіту Голови Правління Товариства.</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10. Розгляд звіту Голови Правління Товариства за 2024 р. та прийняття рішення за наслідками розгляду звіту Голови Правління Товариства.</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11. Розгляд звіту Голови Правління Товариства за 2025 р. та прийняття рішення за наслідками розгляду звіту Голови Правління Товариства.</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12. Розгляд висновків аудиторського звіту суб’єкта аудиторської діяльності щодо аудиту фінансової звітності Товариства за 2021 рік та затвердження заходів за результатами розгляду такого звіту.</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13. Розгляд висновків аудиторського звіту суб’єкта аудиторської діяльності щодо аудиту фінансової звітності Товариства за 2022 рік та затвердження заходів за результатами розгляду такого звіту.</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14. Розгляд висновків аудиторського звіту суб’єкта аудиторської діяльності щодо аудиту фінансової звітності Товариства за 2023 рік та затвердження заходів за результатами розгляду такого звіту.</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15. Розгляд висновків аудиторського звіту суб’єкта аудиторської діяльності щодо аудиту фінансової звітності Товариства за 2024 рік та затвердження заходів за результатами розгляду такого звіту.</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 xml:space="preserve">16. Розгляд висновків аудиторського звіту суб’єкта </w:t>
            </w:r>
            <w:r w:rsidRPr="00382AAB">
              <w:rPr>
                <w:rFonts w:ascii="Times New Roman" w:hAnsi="Times New Roman" w:cs="Times New Roman"/>
                <w:sz w:val="20"/>
                <w:szCs w:val="20"/>
                <w:lang w:val="uk-UA"/>
              </w:rPr>
              <w:lastRenderedPageBreak/>
              <w:t>аудиторської діяльності щодо аудиту фінансової звітності Товариства за 2025 рік та затвердження заходів за результатами розгляду такого звіту.</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 xml:space="preserve">17. Затвердження річного звіту Товариства за 2021 р. </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 xml:space="preserve">18. Затвердження річного звіту Товариства за 2022 р. </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 xml:space="preserve">19. Затвердження річного звіту Товариства за 2023 р. </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 xml:space="preserve">20. Затвердження річного звіту Товариства за 2024 р. </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 xml:space="preserve">21. Затвердження річного звіту Товариства за 2025 р. </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22. Затвердження результатів фінансово-господарської діяльності за 2021 р. та визначення порядку розподілу прибутку Товариства за 2021 р.</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23. Затвердження результатів фінансово-господарської діяльності за 2022 р. та визначення порядку розподілу прибутку Товариства за 2022 р.</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24. Затвердження результатів фінансово-господарської діяльності за 2023 р. та визначення порядку розподілу прибутку Товариства за 2023 р.</w:t>
            </w:r>
          </w:p>
          <w:p w:rsidR="00382AAB" w:rsidRPr="00382AAB" w:rsidRDefault="00382AAB" w:rsidP="00382AAB">
            <w:pPr>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25. Затвердження результатів фінансово-господарської діяльності за 2024 р. та визначення порядку розподілу прибутку Товариства за 2024 р.</w:t>
            </w:r>
          </w:p>
          <w:p w:rsidR="00DC7594" w:rsidRPr="00521120" w:rsidRDefault="00382AAB" w:rsidP="00382AAB">
            <w:pPr>
              <w:ind w:left="2"/>
              <w:jc w:val="both"/>
              <w:rPr>
                <w:rFonts w:ascii="Times New Roman" w:hAnsi="Times New Roman" w:cs="Times New Roman"/>
                <w:sz w:val="20"/>
                <w:szCs w:val="20"/>
                <w:lang w:val="uk-UA"/>
              </w:rPr>
            </w:pPr>
            <w:r w:rsidRPr="00382AAB">
              <w:rPr>
                <w:rFonts w:ascii="Times New Roman" w:hAnsi="Times New Roman" w:cs="Times New Roman"/>
                <w:sz w:val="20"/>
                <w:szCs w:val="20"/>
                <w:lang w:val="uk-UA"/>
              </w:rPr>
              <w:t>26. Затвердження результатів фінансово-господарської діяльності за 2025 р. та визначення порядку розподілу прибутку Товариства за 2025 р.</w:t>
            </w:r>
          </w:p>
        </w:tc>
      </w:tr>
      <w:tr w:rsidR="0017554C" w:rsidRPr="00521120" w:rsidTr="00321426">
        <w:tc>
          <w:tcPr>
            <w:tcW w:w="3685" w:type="dxa"/>
          </w:tcPr>
          <w:p w:rsidR="0017554C" w:rsidRPr="00521120" w:rsidRDefault="00A37ED3"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lastRenderedPageBreak/>
              <w:t>Проект рішень (крім кумулятивного голосування) з кожного питання, включеного до проекту порядку денного</w:t>
            </w:r>
          </w:p>
        </w:tc>
        <w:tc>
          <w:tcPr>
            <w:tcW w:w="5660" w:type="dxa"/>
          </w:tcPr>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№1</w:t>
            </w:r>
            <w:r w:rsidRPr="00DF0DC4">
              <w:rPr>
                <w:rFonts w:ascii="Times New Roman" w:hAnsi="Times New Roman" w:cs="Times New Roman"/>
                <w:sz w:val="20"/>
                <w:szCs w:val="20"/>
                <w:lang w:val="uk-UA"/>
              </w:rPr>
              <w:t>:</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Затвердити наступний регламент (порядок проведення) річних загальних зборів акціонерів ПрАТ «ІНВЕСТБУДСЕРВІС»:</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1. Голосування на річних загальних зборах з питань порядку денного проводиться виключно з використанням бюлетеня для голосування.</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Голосування на річних загальних зборах з відповідних питань порядку денного розпочинається з моменту розміщення на власному веб-сайті ПрАТ «ІНВЕСТБУДСЕРВІС» https://www.invest-buds.pat.ua за посиланням http://www.invest-buds.pat.ua/documents/povidomlennya-pro-provedennya-zagalnih-zboriv-akcioneriv бюлетеня для голосування.</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Голосування на річних загальних зборах з відповідних питань порядку денного завершується о 18 годині 27.04.2026 року.</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На загальних зборах голосування проводиться з усіх питань порядку денного.</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2. На загальних зборах не може бути оголошено перерву або змінено послідовність розгляду питань порядку денного.</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3. Акціонером (представником акціонера) подається бюлетень для голосування депозитарній установі, яка обслуговує рахунок в цінних паперах такого акціонера, на якому обліковуються належні акціонеру акції Товариства на дату складення переліку акціонерів, які мають право на участь у загальних зборах акціонерів.</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Бюлетень для голосування на загальних зборах, засвідчений кваліфікованим електронним підписом або удосконаленим електронним підписом, що базується на кваліфікованому сертифікаті електронного підпису такого акціонера (його представника), направляється депозитарній установі на адресу електронної пошти, яка визначена депозитарною установою.</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№2</w:t>
            </w:r>
            <w:r w:rsidRPr="00DF0DC4">
              <w:rPr>
                <w:rFonts w:ascii="Times New Roman" w:hAnsi="Times New Roman" w:cs="Times New Roman"/>
                <w:sz w:val="20"/>
                <w:szCs w:val="20"/>
                <w:lang w:val="uk-UA"/>
              </w:rPr>
              <w:t xml:space="preserve">: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Затвердити звіт Наглядової Ради Товариства за 2021 р. та визнати роботу Наглядової ради в 2021 р. задовільною.</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№3</w:t>
            </w:r>
            <w:r w:rsidRPr="00DF0DC4">
              <w:rPr>
                <w:rFonts w:ascii="Times New Roman" w:hAnsi="Times New Roman" w:cs="Times New Roman"/>
                <w:sz w:val="20"/>
                <w:szCs w:val="20"/>
                <w:lang w:val="uk-UA"/>
              </w:rPr>
              <w:t xml:space="preserve">: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Затвердити звіт Наглядової Ради Товариства за 2022 р. та визнати роботу Наглядової ради в 2022 р. задовільною.</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№4</w:t>
            </w:r>
            <w:r w:rsidRPr="00DF0DC4">
              <w:rPr>
                <w:rFonts w:ascii="Times New Roman" w:hAnsi="Times New Roman" w:cs="Times New Roman"/>
                <w:sz w:val="20"/>
                <w:szCs w:val="20"/>
                <w:lang w:val="uk-UA"/>
              </w:rPr>
              <w:t xml:space="preserve">: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Затвердити звіт Наглядової Ради Товариства за 2023 р. та визнати роботу Наглядової ради в 2023 р. задовільною.</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№5</w:t>
            </w:r>
            <w:r w:rsidRPr="00DF0DC4">
              <w:rPr>
                <w:rFonts w:ascii="Times New Roman" w:hAnsi="Times New Roman" w:cs="Times New Roman"/>
                <w:sz w:val="20"/>
                <w:szCs w:val="20"/>
                <w:lang w:val="uk-UA"/>
              </w:rPr>
              <w:t xml:space="preserve">: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Затвердити звіт Наглядової Ради Товариства за 2024 р. та визнати роботу Наглядової ради в 2024 р. задовільною.</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№6</w:t>
            </w:r>
            <w:r w:rsidRPr="00DF0DC4">
              <w:rPr>
                <w:rFonts w:ascii="Times New Roman" w:hAnsi="Times New Roman" w:cs="Times New Roman"/>
                <w:sz w:val="20"/>
                <w:szCs w:val="20"/>
                <w:lang w:val="uk-UA"/>
              </w:rPr>
              <w:t xml:space="preserve">: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Затвердити звіт Наглядової Ради Товариства за 2025 р. та визнати роботу Наглядової ради в 2025 р. задовільною.</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№7</w:t>
            </w:r>
            <w:r w:rsidRPr="00DF0DC4">
              <w:rPr>
                <w:rFonts w:ascii="Times New Roman" w:hAnsi="Times New Roman" w:cs="Times New Roman"/>
                <w:sz w:val="20"/>
                <w:szCs w:val="20"/>
                <w:lang w:val="uk-UA"/>
              </w:rPr>
              <w:t xml:space="preserve">: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Затвердити звіт Голови Правління Товариства за 2021 р. та визнати роботу Голови Правління в 2021 р. задовільною.</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№8</w:t>
            </w:r>
            <w:r w:rsidRPr="00DF0DC4">
              <w:rPr>
                <w:rFonts w:ascii="Times New Roman" w:hAnsi="Times New Roman" w:cs="Times New Roman"/>
                <w:sz w:val="20"/>
                <w:szCs w:val="20"/>
                <w:lang w:val="uk-UA"/>
              </w:rPr>
              <w:t xml:space="preserve">: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Затвердити звіт Голови Правління Товариства за 2022 р. та визнати роботу Голови Правління в 2022 р. задовільною.</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№9</w:t>
            </w:r>
            <w:r w:rsidRPr="00DF0DC4">
              <w:rPr>
                <w:rFonts w:ascii="Times New Roman" w:hAnsi="Times New Roman" w:cs="Times New Roman"/>
                <w:sz w:val="20"/>
                <w:szCs w:val="20"/>
                <w:lang w:val="uk-UA"/>
              </w:rPr>
              <w:t xml:space="preserve">: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Затвердити звіт Голови Правління Товариства за 2023 р. та визнати роботу Голови Правління в 2023 р. задовільною.</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№10</w:t>
            </w:r>
            <w:r w:rsidRPr="00DF0DC4">
              <w:rPr>
                <w:rFonts w:ascii="Times New Roman" w:hAnsi="Times New Roman" w:cs="Times New Roman"/>
                <w:sz w:val="20"/>
                <w:szCs w:val="20"/>
                <w:lang w:val="uk-UA"/>
              </w:rPr>
              <w:t xml:space="preserve">: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Затвердити звіт Голови Правління Товариства за 2024 р. та визнати роботу Голови Правління в 2024 р. задовільною.</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№11</w:t>
            </w:r>
            <w:r w:rsidRPr="00DF0DC4">
              <w:rPr>
                <w:rFonts w:ascii="Times New Roman" w:hAnsi="Times New Roman" w:cs="Times New Roman"/>
                <w:sz w:val="20"/>
                <w:szCs w:val="20"/>
                <w:lang w:val="uk-UA"/>
              </w:rPr>
              <w:t xml:space="preserve">: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Затвердити звіт Голови Правління Товариства за 2025 р. та визнати роботу Голови Правління в 2025 р. задовільною.</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№12</w:t>
            </w:r>
            <w:r w:rsidRPr="00DF0DC4">
              <w:rPr>
                <w:rFonts w:ascii="Times New Roman" w:hAnsi="Times New Roman" w:cs="Times New Roman"/>
                <w:sz w:val="20"/>
                <w:szCs w:val="20"/>
                <w:lang w:val="uk-UA"/>
              </w:rPr>
              <w:t>:</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Взяти до відома висновок аудиторського звіту суб’єкта аудиторської діяльності Товариства з обмеженою відповідальністю «Аудиторська фірма «Саміла» (ідентифікаційний код 33544503) щодо аудиту фінансової звітності Товариства, складений за результатами перевірки фінансової звітності Товариства за 2021 рік та доручити виконавчому органу Товариства вжити заходів щодо виконання рекомендацій, наданих суб’єктом аудиторської діяльності.</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№13</w:t>
            </w:r>
            <w:r w:rsidRPr="00DF0DC4">
              <w:rPr>
                <w:rFonts w:ascii="Times New Roman" w:hAnsi="Times New Roman" w:cs="Times New Roman"/>
                <w:sz w:val="20"/>
                <w:szCs w:val="20"/>
                <w:lang w:val="uk-UA"/>
              </w:rPr>
              <w:t>:</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Взяти до відома висновок аудиторського звіту суб’єкта аудиторської діяльності Товариства з обмеженою відповідальністю «Аудиторська фірма «Саміла» (ідентифікаційний код 33544503) щодо аудиту фінансової звітності Товариства, складений за результатами перевірки фінансової звітності Товариства за 2022 рік та доручити виконавчому органу Товариства вжити заходів щодо виконання рекомендацій, наданих суб’єктом аудиторської діяльності.</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№14</w:t>
            </w:r>
            <w:r w:rsidRPr="00DF0DC4">
              <w:rPr>
                <w:rFonts w:ascii="Times New Roman" w:hAnsi="Times New Roman" w:cs="Times New Roman"/>
                <w:sz w:val="20"/>
                <w:szCs w:val="20"/>
                <w:lang w:val="uk-UA"/>
              </w:rPr>
              <w:t>:</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Взяти до відома висновок аудиторського звіту суб’єкта аудиторської діяльності Товариства з обмеженою відповідальністю «Аудиторська фірма «Саміла» (ідентифікаційний код 33544503) щодо аудиту фінансової звітності Товариства, складений за результатами перевірки фінансової звітності Товариства за 2023 рік та доручити виконавчому органу Товариства вжити заходів щодо виконання рекомендацій, наданих суб’єктом аудиторської діяльності.</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№15</w:t>
            </w:r>
            <w:r w:rsidRPr="00DF0DC4">
              <w:rPr>
                <w:rFonts w:ascii="Times New Roman" w:hAnsi="Times New Roman" w:cs="Times New Roman"/>
                <w:sz w:val="20"/>
                <w:szCs w:val="20"/>
                <w:lang w:val="uk-UA"/>
              </w:rPr>
              <w:t>:</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Взяти до відома висновок аудиторського звіту суб’єкта аудиторської діяльності Товариства з обмеженою відповідальністю «Аудиторська фірма «Саміла» (ідентифікаційний код 33544503) щодо аудиту фінансової звітності Товариства, складений за результатами перевірки фінансової звітності Товариства за 2024 рік та доручити виконавчому органу Товариства вжити заходів щодо виконання рекомендацій, наданих суб’єктом аудиторської діяльності.</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№16</w:t>
            </w:r>
            <w:r w:rsidRPr="00DF0DC4">
              <w:rPr>
                <w:rFonts w:ascii="Times New Roman" w:hAnsi="Times New Roman" w:cs="Times New Roman"/>
                <w:sz w:val="20"/>
                <w:szCs w:val="20"/>
                <w:lang w:val="uk-UA"/>
              </w:rPr>
              <w:t>:</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1. Встановити, що суб’єкт аудиторської діяльності для надання ПрАТ «ІНВЕСТБУДСЕРВІС» будь-якої послуги на протязі 2025 р. чи за підсумками фінансово-господарської діяльності у 2025 р., ні з власної ініціативи за рішенням органів Товариства, ні на вимогу акціонерів Товариства, не залучався, та, відповідно, звіт суб’єкта аудиторської діяльності не формувався, а розгляд Загальними зборами висновків такого звіту та затвердження заходів за результатами його розгляду з цих же підстав не можуть бути здійсненими.</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 xml:space="preserve">2. Для цілей деталізації підстав для частини 1 цього рішення, визначити, що: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2.1. Згідно частин 2 та 4 статті 109 Закону України «Про акціонерні товариства» звіт за підсумками перевірки фінансово-господарської діяльності акціонерного товариства за результатами фінансового року є річним звітом товариства, який є річною інформацією емітента в розумінні статті 126 Закону України «Про ринки капіталу та організовані товарні ринки»;</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2.1.1. До Товариства, як приватного акціонерного товариства, яке не є таким, що здійснило публічну пропозицію інших цінних паперів (крім акцій) чи підприємством, що становить суспільний інтерес, згідно частини 10 статті 126 Закону України «Про ринки капіталу та організовані товарні ринки» вимоги щодо перевірки суб’єктом аудиторської діяльності річної фінансової звітності Товариства як обов’язкові - не застосовуються;</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 xml:space="preserve">2.1.2. У розумінні частини 2 статті 2 Закону України «Про бухгалтерський облік та фінансову звітність в Україні» Товариство відноситься до категорії мікропідприємств та згідно вимог статті 14 вказаного закону не є таким, що зобов’язане подавати та/чи оприлюднювати фінансову звітність за підсумками обов’язкового аудиту (у розумінні визначення згідно п. 16 частини 1 статті 1 Закону України «Про аудит фінансової звітності та аудиторську діяльність») фінансової звітності;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 xml:space="preserve">2.2. З власної ініціативи за рішенням органів Товариства чи на вимогу акціонерів Товариства (такі вимоги відсутні), суб’єкт аудиторської діяльності для надання Товариству будь-якої послуги на протязі 2025 р. чи за підсумками фінансово-господарської діяльності у 2025 р. не залучався.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3. Відмітити, що питання «Розгляд висновків аудиторського звіту суб’єкта аудиторської діяльності та затвердження заходів за результатами розгляду такого звіту» включено до порядку денного цих річних Загальних зборів виключно на виконання вимог частини 3 статті 37 Закону України «Про акціонерні товариства», як обов’язкове для включення до порядку денно</w:t>
            </w:r>
            <w:r w:rsidR="00EA2E5C">
              <w:rPr>
                <w:rFonts w:ascii="Times New Roman" w:hAnsi="Times New Roman" w:cs="Times New Roman"/>
                <w:sz w:val="20"/>
                <w:szCs w:val="20"/>
                <w:lang w:val="uk-UA"/>
              </w:rPr>
              <w:t>го саме річних загальних зборів</w:t>
            </w:r>
            <w:r w:rsidRPr="00DF0DC4">
              <w:rPr>
                <w:rFonts w:ascii="Times New Roman" w:hAnsi="Times New Roman" w:cs="Times New Roman"/>
                <w:sz w:val="20"/>
                <w:szCs w:val="20"/>
                <w:lang w:val="uk-UA"/>
              </w:rPr>
              <w:t>.</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№17</w:t>
            </w:r>
            <w:r w:rsidRPr="00DF0DC4">
              <w:rPr>
                <w:rFonts w:ascii="Times New Roman" w:hAnsi="Times New Roman" w:cs="Times New Roman"/>
                <w:sz w:val="20"/>
                <w:szCs w:val="20"/>
                <w:lang w:val="uk-UA"/>
              </w:rPr>
              <w:t>:</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 xml:space="preserve">Затвердити річну звітність Товариства за 2021 р.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№18</w:t>
            </w:r>
            <w:r w:rsidRPr="00DF0DC4">
              <w:rPr>
                <w:rFonts w:ascii="Times New Roman" w:hAnsi="Times New Roman" w:cs="Times New Roman"/>
                <w:sz w:val="20"/>
                <w:szCs w:val="20"/>
                <w:lang w:val="uk-UA"/>
              </w:rPr>
              <w:t>:</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 xml:space="preserve">Затвердити річну звітність Товариства за 2022 р.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№19</w:t>
            </w:r>
            <w:r w:rsidRPr="00DF0DC4">
              <w:rPr>
                <w:rFonts w:ascii="Times New Roman" w:hAnsi="Times New Roman" w:cs="Times New Roman"/>
                <w:sz w:val="20"/>
                <w:szCs w:val="20"/>
                <w:lang w:val="uk-UA"/>
              </w:rPr>
              <w:t>:</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 xml:space="preserve">Затвердити річну звітність Товариства за 2023 р.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№20</w:t>
            </w:r>
            <w:r w:rsidRPr="00DF0DC4">
              <w:rPr>
                <w:rFonts w:ascii="Times New Roman" w:hAnsi="Times New Roman" w:cs="Times New Roman"/>
                <w:sz w:val="20"/>
                <w:szCs w:val="20"/>
                <w:lang w:val="uk-UA"/>
              </w:rPr>
              <w:t>:</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 xml:space="preserve">Затвердити річну звітність Товариства за 2024 р.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№21</w:t>
            </w:r>
            <w:r w:rsidRPr="00DF0DC4">
              <w:rPr>
                <w:rFonts w:ascii="Times New Roman" w:hAnsi="Times New Roman" w:cs="Times New Roman"/>
                <w:sz w:val="20"/>
                <w:szCs w:val="20"/>
                <w:lang w:val="uk-UA"/>
              </w:rPr>
              <w:t>:</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 xml:space="preserve">Затвердити річну звітність Товариства за 2025 р.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№22</w:t>
            </w:r>
            <w:r w:rsidRPr="00DF0DC4">
              <w:rPr>
                <w:rFonts w:ascii="Times New Roman" w:hAnsi="Times New Roman" w:cs="Times New Roman"/>
                <w:sz w:val="20"/>
                <w:szCs w:val="20"/>
                <w:lang w:val="uk-UA"/>
              </w:rPr>
              <w:t>:</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 xml:space="preserve">Затвердити результати фінансово-господарської діяльності за 2021 р. Прибуток, отриманий у 2021 р., в розмірі 225 тис. грн. направити на розвиток діяльності Товариства та на поповнення оборотних коштів.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№23</w:t>
            </w:r>
            <w:r w:rsidRPr="00DF0DC4">
              <w:rPr>
                <w:rFonts w:ascii="Times New Roman" w:hAnsi="Times New Roman" w:cs="Times New Roman"/>
                <w:sz w:val="20"/>
                <w:szCs w:val="20"/>
                <w:lang w:val="uk-UA"/>
              </w:rPr>
              <w:t>:</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 xml:space="preserve">Затвердити результати фінансово-господарської діяльності за 2022 р. Прибуток, отриманий у 2022 р., в розмірі 40 тис. грн. направити на розвиток діяльності Товариства та на поповнення оборотних коштів.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№24</w:t>
            </w:r>
            <w:r w:rsidRPr="00DF0DC4">
              <w:rPr>
                <w:rFonts w:ascii="Times New Roman" w:hAnsi="Times New Roman" w:cs="Times New Roman"/>
                <w:sz w:val="20"/>
                <w:szCs w:val="20"/>
                <w:lang w:val="uk-UA"/>
              </w:rPr>
              <w:t>:</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 xml:space="preserve">Затвердити результати фінансово-господарської діяльності за 2023 р. Прибуток, отриманий у 2023 р., в розмірі 35 тис. грн. направити на розвиток діяльності Товариства та на поповнення оборотних коштів.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№25</w:t>
            </w:r>
            <w:r w:rsidRPr="00DF0DC4">
              <w:rPr>
                <w:rFonts w:ascii="Times New Roman" w:hAnsi="Times New Roman" w:cs="Times New Roman"/>
                <w:sz w:val="20"/>
                <w:szCs w:val="20"/>
                <w:lang w:val="uk-UA"/>
              </w:rPr>
              <w:t>:</w:t>
            </w:r>
          </w:p>
          <w:p w:rsidR="00DF0DC4" w:rsidRDefault="00DF0DC4" w:rsidP="00DF0DC4">
            <w:pPr>
              <w:pStyle w:val="ae"/>
              <w:spacing w:before="0" w:beforeAutospacing="0" w:after="0" w:afterAutospacing="0"/>
              <w:jc w:val="both"/>
              <w:rPr>
                <w:rFonts w:eastAsiaTheme="minorHAnsi"/>
                <w:sz w:val="20"/>
                <w:szCs w:val="20"/>
                <w:lang w:val="uk-UA" w:eastAsia="en-US"/>
              </w:rPr>
            </w:pPr>
            <w:r w:rsidRPr="00DF0DC4">
              <w:rPr>
                <w:rFonts w:eastAsiaTheme="minorHAnsi"/>
                <w:sz w:val="20"/>
                <w:szCs w:val="20"/>
                <w:lang w:val="uk-UA" w:eastAsia="en-US"/>
              </w:rPr>
              <w:t xml:space="preserve">Затвердити результати фінансово-господарської діяльності за 2024 р. Встановити, що за підсумками 2024 р. чистий фінансовий результат Товариства становить 0 грн. У зв’язку з відсутністю чистого прибутку за 2024 р. розподіл прибутку не здійснювати. </w:t>
            </w:r>
          </w:p>
          <w:p w:rsidR="00DF0DC4"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b/>
                <w:sz w:val="20"/>
                <w:szCs w:val="20"/>
                <w:lang w:val="uk-UA"/>
              </w:rPr>
              <w:t>Проект рішення з питання №26</w:t>
            </w:r>
            <w:r w:rsidRPr="00DF0DC4">
              <w:rPr>
                <w:rFonts w:ascii="Times New Roman" w:hAnsi="Times New Roman" w:cs="Times New Roman"/>
                <w:sz w:val="20"/>
                <w:szCs w:val="20"/>
                <w:lang w:val="uk-UA"/>
              </w:rPr>
              <w:t>:</w:t>
            </w:r>
          </w:p>
          <w:p w:rsidR="0066127C" w:rsidRPr="00DF0DC4" w:rsidRDefault="00DF0DC4" w:rsidP="00DF0DC4">
            <w:pPr>
              <w:jc w:val="both"/>
              <w:rPr>
                <w:rFonts w:ascii="Times New Roman" w:hAnsi="Times New Roman" w:cs="Times New Roman"/>
                <w:sz w:val="20"/>
                <w:szCs w:val="20"/>
                <w:lang w:val="uk-UA"/>
              </w:rPr>
            </w:pPr>
            <w:r w:rsidRPr="00DF0DC4">
              <w:rPr>
                <w:rFonts w:ascii="Times New Roman" w:hAnsi="Times New Roman" w:cs="Times New Roman"/>
                <w:sz w:val="20"/>
                <w:szCs w:val="20"/>
                <w:lang w:val="uk-UA"/>
              </w:rPr>
              <w:t>Затвердити результати фінансово-господарської діяльності за 2025 р. Прибуток, отриманий у 2025 р., в розмірі 144 тис. грн. направити на розвиток діяльності Товариства та на поповнення оборотних коштів.</w:t>
            </w:r>
          </w:p>
        </w:tc>
      </w:tr>
      <w:tr w:rsidR="0017554C" w:rsidRPr="00C351E5" w:rsidTr="00321426">
        <w:tc>
          <w:tcPr>
            <w:tcW w:w="3685" w:type="dxa"/>
          </w:tcPr>
          <w:p w:rsidR="0017554C" w:rsidRPr="00521120" w:rsidRDefault="00FD2E0D"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en-US"/>
              </w:rPr>
              <w:t>URL</w:t>
            </w:r>
            <w:r w:rsidRPr="00521120">
              <w:rPr>
                <w:rFonts w:ascii="Times New Roman" w:hAnsi="Times New Roman" w:cs="Times New Roman"/>
                <w:sz w:val="20"/>
                <w:szCs w:val="20"/>
              </w:rPr>
              <w:t>-</w:t>
            </w:r>
            <w:r w:rsidRPr="00521120">
              <w:rPr>
                <w:rFonts w:ascii="Times New Roman" w:hAnsi="Times New Roman" w:cs="Times New Roman"/>
                <w:sz w:val="20"/>
                <w:szCs w:val="20"/>
                <w:lang w:val="uk-UA"/>
              </w:rPr>
              <w:t>адреса веб-сайту, на якій розміщено інформацію, зазначену в частині тр</w:t>
            </w:r>
            <w:r w:rsidR="005B004B" w:rsidRPr="00521120">
              <w:rPr>
                <w:rFonts w:ascii="Times New Roman" w:hAnsi="Times New Roman" w:cs="Times New Roman"/>
                <w:sz w:val="20"/>
                <w:szCs w:val="20"/>
                <w:lang w:val="uk-UA"/>
              </w:rPr>
              <w:t>етій статті 47 Закону України «П</w:t>
            </w:r>
            <w:r w:rsidRPr="00521120">
              <w:rPr>
                <w:rFonts w:ascii="Times New Roman" w:hAnsi="Times New Roman" w:cs="Times New Roman"/>
                <w:sz w:val="20"/>
                <w:szCs w:val="20"/>
                <w:lang w:val="uk-UA"/>
              </w:rPr>
              <w:t xml:space="preserve">ро акціонерні товариства» </w:t>
            </w:r>
          </w:p>
        </w:tc>
        <w:tc>
          <w:tcPr>
            <w:tcW w:w="5660" w:type="dxa"/>
          </w:tcPr>
          <w:p w:rsidR="0017554C" w:rsidRPr="00521120" w:rsidRDefault="00FD2E0D"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http://www.invest-buds.pat.ua/documents/povidomlennya-pro-provedennya-zagalnih-zboriv-akcioneriv</w:t>
            </w:r>
          </w:p>
        </w:tc>
      </w:tr>
      <w:tr w:rsidR="0017554C" w:rsidRPr="00521120" w:rsidTr="00321426">
        <w:tc>
          <w:tcPr>
            <w:tcW w:w="3685" w:type="dxa"/>
          </w:tcPr>
          <w:p w:rsidR="00FD2E0D" w:rsidRPr="00521120" w:rsidRDefault="00FD2E0D" w:rsidP="00FD2E0D">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Порядок ознайомлення акціонерів з матеріалами, з якими вони можуть ознайомитися під час підготовки до загальних зборів, та посадова особа акціонерного товариства, відповідальна за порядок ознайомлення акціонерів з</w:t>
            </w:r>
          </w:p>
          <w:p w:rsidR="0017554C" w:rsidRPr="00521120" w:rsidRDefault="00FD2E0D" w:rsidP="00FD2E0D">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документами</w:t>
            </w:r>
          </w:p>
        </w:tc>
        <w:tc>
          <w:tcPr>
            <w:tcW w:w="5660" w:type="dxa"/>
          </w:tcPr>
          <w:p w:rsidR="003126DA" w:rsidRPr="00521120" w:rsidRDefault="00FD2E0D" w:rsidP="003126DA">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 xml:space="preserve">Від дати надсилання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рішень з питань, включених до проекту порядку денного та порядку денного, шляхом направлення документів акціонеру на його запит, що надійшов засобами електронної пошти на адресу </w:t>
            </w:r>
            <w:hyperlink r:id="rId7" w:history="1">
              <w:r w:rsidR="003126DA" w:rsidRPr="00521120">
                <w:rPr>
                  <w:rStyle w:val="a4"/>
                  <w:rFonts w:ascii="Times New Roman" w:hAnsi="Times New Roman" w:cs="Times New Roman"/>
                  <w:sz w:val="20"/>
                  <w:szCs w:val="20"/>
                  <w:lang w:val="uk-UA"/>
                </w:rPr>
                <w:t>vatinvestbud@newmir.net</w:t>
              </w:r>
            </w:hyperlink>
            <w:r w:rsidR="003126DA" w:rsidRPr="00521120">
              <w:rPr>
                <w:rFonts w:ascii="Times New Roman" w:hAnsi="Times New Roman" w:cs="Times New Roman"/>
                <w:sz w:val="20"/>
                <w:szCs w:val="20"/>
                <w:lang w:val="uk-UA"/>
              </w:rPr>
              <w:t xml:space="preserve">. </w:t>
            </w:r>
          </w:p>
          <w:p w:rsidR="003126DA" w:rsidRPr="00521120" w:rsidRDefault="00FD2E0D" w:rsidP="003126DA">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 xml:space="preserve">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або удосконаленим електронним підписом, що базується на кваліфікованому сертифікаті електронного підпису, такого акціонера та направлений на адресу електронної пошти </w:t>
            </w:r>
            <w:hyperlink r:id="rId8" w:history="1">
              <w:r w:rsidR="003126DA" w:rsidRPr="00521120">
                <w:rPr>
                  <w:rStyle w:val="a4"/>
                  <w:rFonts w:ascii="Times New Roman" w:hAnsi="Times New Roman" w:cs="Times New Roman"/>
                  <w:sz w:val="20"/>
                  <w:szCs w:val="20"/>
                  <w:lang w:val="uk-UA"/>
                </w:rPr>
                <w:t>vatinvestbud@newmir.net</w:t>
              </w:r>
            </w:hyperlink>
            <w:r w:rsidRPr="00521120">
              <w:rPr>
                <w:rFonts w:ascii="Times New Roman" w:hAnsi="Times New Roman" w:cs="Times New Roman"/>
                <w:sz w:val="20"/>
                <w:szCs w:val="20"/>
                <w:lang w:val="uk-UA"/>
              </w:rPr>
              <w:t>.</w:t>
            </w:r>
          </w:p>
          <w:p w:rsidR="00FD2E0D" w:rsidRPr="00521120" w:rsidRDefault="00FD2E0D" w:rsidP="003126DA">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 xml:space="preserve"> 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або удосконаленим електронним підписом, що базується на кваліфікованому сертифікаті електронного підпису. Кожен акціонер має право отримати, а Товариство </w:t>
            </w:r>
            <w:r w:rsidR="004134DD" w:rsidRPr="00521120">
              <w:rPr>
                <w:rFonts w:ascii="Times New Roman" w:hAnsi="Times New Roman" w:cs="Times New Roman"/>
                <w:sz w:val="20"/>
                <w:szCs w:val="20"/>
                <w:lang w:val="uk-UA"/>
              </w:rPr>
              <w:t>зобов’язане</w:t>
            </w:r>
            <w:r w:rsidRPr="00521120">
              <w:rPr>
                <w:rFonts w:ascii="Times New Roman" w:hAnsi="Times New Roman" w:cs="Times New Roman"/>
                <w:sz w:val="20"/>
                <w:szCs w:val="20"/>
                <w:lang w:val="uk-UA"/>
              </w:rPr>
              <w:t xml:space="preserve">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p>
          <w:p w:rsidR="00FD2E0D" w:rsidRPr="00521120" w:rsidRDefault="00FD2E0D" w:rsidP="003126DA">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Товариство до дати проведення загальних зборів надає відповіді на запитання акціонерів щодо питань, включених до проекту порядку денного загальних зборів та порядку денного загальних зборів, отримані</w:t>
            </w:r>
            <w:r w:rsidR="00F85CCB" w:rsidRPr="00521120">
              <w:rPr>
                <w:rFonts w:ascii="Times New Roman" w:hAnsi="Times New Roman" w:cs="Times New Roman"/>
                <w:sz w:val="20"/>
                <w:szCs w:val="20"/>
                <w:lang w:val="uk-UA"/>
              </w:rPr>
              <w:t xml:space="preserve"> </w:t>
            </w:r>
            <w:r w:rsidRPr="00521120">
              <w:rPr>
                <w:rFonts w:ascii="Times New Roman" w:hAnsi="Times New Roman" w:cs="Times New Roman"/>
                <w:sz w:val="20"/>
                <w:szCs w:val="20"/>
                <w:lang w:val="uk-UA"/>
              </w:rPr>
              <w:t xml:space="preserve">товариством не пізніше ніж за один робочий день до дати проведення загальних зборів. Відповідні запити направляються акціонерами на адресу електронної пошти </w:t>
            </w:r>
            <w:hyperlink r:id="rId9" w:history="1">
              <w:r w:rsidR="003126DA" w:rsidRPr="00521120">
                <w:rPr>
                  <w:rStyle w:val="a4"/>
                  <w:rFonts w:ascii="Times New Roman" w:hAnsi="Times New Roman" w:cs="Times New Roman"/>
                  <w:sz w:val="20"/>
                  <w:szCs w:val="20"/>
                  <w:lang w:val="uk-UA"/>
                </w:rPr>
                <w:t>vatinvestbud@newmir.net</w:t>
              </w:r>
            </w:hyperlink>
            <w:r w:rsidR="003126DA" w:rsidRPr="00521120">
              <w:rPr>
                <w:rFonts w:ascii="Times New Roman" w:hAnsi="Times New Roman" w:cs="Times New Roman"/>
                <w:sz w:val="20"/>
                <w:szCs w:val="20"/>
                <w:lang w:val="uk-UA"/>
              </w:rPr>
              <w:t xml:space="preserve"> </w:t>
            </w:r>
            <w:r w:rsidRPr="00521120">
              <w:rPr>
                <w:rFonts w:ascii="Times New Roman" w:hAnsi="Times New Roman" w:cs="Times New Roman"/>
                <w:sz w:val="20"/>
                <w:szCs w:val="20"/>
                <w:lang w:val="uk-UA"/>
              </w:rPr>
              <w:t>iз зазначенням ім</w:t>
            </w:r>
            <w:r w:rsidR="00F86AEC" w:rsidRPr="00521120">
              <w:rPr>
                <w:rFonts w:ascii="Times New Roman" w:hAnsi="Times New Roman" w:cs="Times New Roman"/>
                <w:sz w:val="20"/>
                <w:szCs w:val="20"/>
                <w:lang w:val="uk-UA"/>
              </w:rPr>
              <w:t>’</w:t>
            </w:r>
            <w:r w:rsidRPr="00521120">
              <w:rPr>
                <w:rFonts w:ascii="Times New Roman" w:hAnsi="Times New Roman" w:cs="Times New Roman"/>
                <w:sz w:val="20"/>
                <w:szCs w:val="20"/>
                <w:lang w:val="uk-UA"/>
              </w:rPr>
              <w:t>я (найменування) акціонера, який звертається, кількості, типу та/або класу належних йому акцій, змісту запитання та засвідченням такого запиту кваліфікованим електронним підписом або удосконаленим електронним підписом, що базується на кваліфікованому сертифікаті електронного підпису, такого акціонера.</w:t>
            </w:r>
          </w:p>
          <w:p w:rsidR="00FD2E0D" w:rsidRPr="00521120" w:rsidRDefault="00FD2E0D" w:rsidP="003126DA">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уповноваженої</w:t>
            </w:r>
            <w:r w:rsidR="004134DD" w:rsidRPr="00521120">
              <w:rPr>
                <w:rFonts w:ascii="Times New Roman" w:hAnsi="Times New Roman" w:cs="Times New Roman"/>
                <w:sz w:val="20"/>
                <w:szCs w:val="20"/>
                <w:lang w:val="uk-UA"/>
              </w:rPr>
              <w:t xml:space="preserve"> </w:t>
            </w:r>
            <w:r w:rsidRPr="00521120">
              <w:rPr>
                <w:rFonts w:ascii="Times New Roman" w:hAnsi="Times New Roman" w:cs="Times New Roman"/>
                <w:sz w:val="20"/>
                <w:szCs w:val="20"/>
                <w:lang w:val="uk-UA"/>
              </w:rPr>
              <w:t>особи.</w:t>
            </w:r>
          </w:p>
          <w:p w:rsidR="006D33E6" w:rsidRPr="00521120" w:rsidRDefault="003126DA" w:rsidP="00F85CCB">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Галан Інна Володимирівна</w:t>
            </w:r>
            <w:r w:rsidR="00FD2E0D" w:rsidRPr="00521120">
              <w:rPr>
                <w:rFonts w:ascii="Times New Roman" w:hAnsi="Times New Roman" w:cs="Times New Roman"/>
                <w:sz w:val="20"/>
                <w:szCs w:val="20"/>
                <w:lang w:val="uk-UA"/>
              </w:rPr>
              <w:t xml:space="preserve"> є посадовою особою, відповідальною за ознайомлення акціонерів з матеріалами (документами), необхідними для прийняття рішень з питань порядку денного загальних зборів під час підготовки до загальних зборів. (тел. +38 (</w:t>
            </w:r>
            <w:r w:rsidRPr="00521120">
              <w:rPr>
                <w:rFonts w:ascii="Times New Roman" w:hAnsi="Times New Roman" w:cs="Times New Roman"/>
                <w:sz w:val="20"/>
                <w:szCs w:val="20"/>
                <w:lang w:val="uk-UA"/>
              </w:rPr>
              <w:t>095) 579 70 06</w:t>
            </w:r>
            <w:r w:rsidR="00FD2E0D" w:rsidRPr="00521120">
              <w:rPr>
                <w:rFonts w:ascii="Times New Roman" w:hAnsi="Times New Roman" w:cs="Times New Roman"/>
                <w:sz w:val="20"/>
                <w:szCs w:val="20"/>
                <w:lang w:val="uk-UA"/>
              </w:rPr>
              <w:t>)</w:t>
            </w:r>
          </w:p>
        </w:tc>
      </w:tr>
      <w:tr w:rsidR="0017554C" w:rsidRPr="00521120" w:rsidTr="00321426">
        <w:tc>
          <w:tcPr>
            <w:tcW w:w="3685" w:type="dxa"/>
          </w:tcPr>
          <w:p w:rsidR="00D52E42" w:rsidRPr="00521120" w:rsidRDefault="00D52E42" w:rsidP="00D52E42">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Інформація про права, надані акціонерам відповідно до вимог статей 27 і 28 Закону України «Про акціонерні товариства», якими вони можуть користуватися після отримання повідомлення про проведення загальних зборів, а також строк, протягом</w:t>
            </w:r>
          </w:p>
          <w:p w:rsidR="00D52E42" w:rsidRPr="00521120" w:rsidRDefault="00D52E42" w:rsidP="00D52E42">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якого такі права можуть використовуватися</w:t>
            </w:r>
          </w:p>
          <w:p w:rsidR="00D52E42" w:rsidRPr="00521120" w:rsidRDefault="00D52E42" w:rsidP="00D52E42">
            <w:pPr>
              <w:jc w:val="center"/>
              <w:rPr>
                <w:rFonts w:ascii="Times New Roman" w:hAnsi="Times New Roman" w:cs="Times New Roman"/>
                <w:sz w:val="20"/>
                <w:szCs w:val="20"/>
                <w:lang w:val="uk-UA"/>
              </w:rPr>
            </w:pPr>
          </w:p>
          <w:p w:rsidR="0017554C" w:rsidRPr="00521120" w:rsidRDefault="0017554C" w:rsidP="00D52E42">
            <w:pPr>
              <w:jc w:val="center"/>
              <w:rPr>
                <w:rFonts w:ascii="Times New Roman" w:hAnsi="Times New Roman" w:cs="Times New Roman"/>
                <w:sz w:val="20"/>
                <w:szCs w:val="20"/>
                <w:lang w:val="uk-UA"/>
              </w:rPr>
            </w:pPr>
          </w:p>
        </w:tc>
        <w:tc>
          <w:tcPr>
            <w:tcW w:w="5660" w:type="dxa"/>
          </w:tcPr>
          <w:p w:rsidR="003126DA" w:rsidRPr="00521120" w:rsidRDefault="003126DA" w:rsidP="002513EA">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Кожною простою акцією Товариства її власнику - акціонеру надається однакова сукупність прав, включаючи права на:</w:t>
            </w:r>
          </w:p>
          <w:p w:rsidR="003126DA" w:rsidRPr="00521120" w:rsidRDefault="003126DA" w:rsidP="002513EA">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1) участь в управлінні Товариством;</w:t>
            </w:r>
          </w:p>
          <w:p w:rsidR="003126DA" w:rsidRPr="00521120" w:rsidRDefault="003126DA" w:rsidP="002513EA">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2) отримання дивідендів;</w:t>
            </w:r>
          </w:p>
          <w:p w:rsidR="0017554C" w:rsidRPr="00521120" w:rsidRDefault="003126DA" w:rsidP="002513EA">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3) отримання у разі ліквідації Товариства</w:t>
            </w:r>
            <w:r w:rsidR="00D52E42" w:rsidRPr="00521120">
              <w:rPr>
                <w:rFonts w:ascii="Times New Roman" w:hAnsi="Times New Roman" w:cs="Times New Roman"/>
                <w:sz w:val="20"/>
                <w:szCs w:val="20"/>
                <w:lang w:val="uk-UA"/>
              </w:rPr>
              <w:t xml:space="preserve"> частини його майна або вартості частини майна Товариства;</w:t>
            </w:r>
          </w:p>
          <w:p w:rsidR="00D52E42" w:rsidRPr="00521120" w:rsidRDefault="00D52E42" w:rsidP="002513EA">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4) отримання інформації про господарську діяльність Товариства.</w:t>
            </w:r>
          </w:p>
          <w:p w:rsidR="00D52E42" w:rsidRPr="00521120" w:rsidRDefault="00D52E42" w:rsidP="002513EA">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Одна проста голосуюча акція Товариства надає акціонеру один голо</w:t>
            </w:r>
            <w:r w:rsidR="002513EA" w:rsidRPr="00521120">
              <w:rPr>
                <w:rFonts w:ascii="Times New Roman" w:hAnsi="Times New Roman" w:cs="Times New Roman"/>
                <w:sz w:val="20"/>
                <w:szCs w:val="20"/>
                <w:lang w:val="uk-UA"/>
              </w:rPr>
              <w:t>с</w:t>
            </w:r>
            <w:r w:rsidRPr="00521120">
              <w:rPr>
                <w:rFonts w:ascii="Times New Roman" w:hAnsi="Times New Roman" w:cs="Times New Roman"/>
                <w:sz w:val="20"/>
                <w:szCs w:val="20"/>
                <w:lang w:val="uk-UA"/>
              </w:rPr>
              <w:t xml:space="preserve"> для вирішення кожного питання н</w:t>
            </w:r>
            <w:r w:rsidR="002513EA" w:rsidRPr="00521120">
              <w:rPr>
                <w:rFonts w:ascii="Times New Roman" w:hAnsi="Times New Roman" w:cs="Times New Roman"/>
                <w:sz w:val="20"/>
                <w:szCs w:val="20"/>
                <w:lang w:val="uk-UA"/>
              </w:rPr>
              <w:t xml:space="preserve">а загальних зборах, крім випадків </w:t>
            </w:r>
            <w:r w:rsidRPr="00521120">
              <w:rPr>
                <w:rFonts w:ascii="Times New Roman" w:hAnsi="Times New Roman" w:cs="Times New Roman"/>
                <w:sz w:val="20"/>
                <w:szCs w:val="20"/>
                <w:lang w:val="uk-UA"/>
              </w:rPr>
              <w:t>проведення кумулятивного голосування.</w:t>
            </w:r>
          </w:p>
          <w:p w:rsidR="00D52E42" w:rsidRPr="00521120" w:rsidRDefault="00D52E42" w:rsidP="002513EA">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Акціонери - власники простих акцій Товариства можуть мати й інші права, передбачені законодавством та статутом Товариства.</w:t>
            </w:r>
          </w:p>
          <w:p w:rsidR="00D52E42" w:rsidRPr="00521120" w:rsidRDefault="00D52E42" w:rsidP="002463CF">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Кожний акціонер має право внести пропозиції щодо питань, включених до проекту порядку денного загальних зборів.</w:t>
            </w:r>
          </w:p>
        </w:tc>
      </w:tr>
      <w:tr w:rsidR="0017554C" w:rsidRPr="00521120" w:rsidTr="00321426">
        <w:tc>
          <w:tcPr>
            <w:tcW w:w="3685" w:type="dxa"/>
          </w:tcPr>
          <w:p w:rsidR="00D52E42" w:rsidRPr="00521120" w:rsidRDefault="00D52E42" w:rsidP="00D52E42">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Порядок надання акціонерами пропозицій</w:t>
            </w:r>
            <w:r w:rsidR="00A71BC6" w:rsidRPr="00521120">
              <w:rPr>
                <w:rFonts w:ascii="Times New Roman" w:hAnsi="Times New Roman" w:cs="Times New Roman"/>
                <w:sz w:val="20"/>
                <w:szCs w:val="20"/>
                <w:lang w:val="uk-UA"/>
              </w:rPr>
              <w:t xml:space="preserve"> </w:t>
            </w:r>
            <w:r w:rsidRPr="00521120">
              <w:rPr>
                <w:rFonts w:ascii="Times New Roman" w:hAnsi="Times New Roman" w:cs="Times New Roman"/>
                <w:sz w:val="20"/>
                <w:szCs w:val="20"/>
                <w:lang w:val="uk-UA"/>
              </w:rPr>
              <w:t>до проекту порядку денного загальних</w:t>
            </w:r>
            <w:r w:rsidR="00A71BC6" w:rsidRPr="00521120">
              <w:rPr>
                <w:rFonts w:ascii="Times New Roman" w:hAnsi="Times New Roman" w:cs="Times New Roman"/>
                <w:sz w:val="20"/>
                <w:szCs w:val="20"/>
                <w:lang w:val="uk-UA"/>
              </w:rPr>
              <w:t xml:space="preserve"> </w:t>
            </w:r>
            <w:r w:rsidRPr="00521120">
              <w:rPr>
                <w:rFonts w:ascii="Times New Roman" w:hAnsi="Times New Roman" w:cs="Times New Roman"/>
                <w:sz w:val="20"/>
                <w:szCs w:val="20"/>
                <w:lang w:val="uk-UA"/>
              </w:rPr>
              <w:t>зборів</w:t>
            </w:r>
          </w:p>
          <w:p w:rsidR="0017554C" w:rsidRPr="00521120" w:rsidRDefault="0017554C" w:rsidP="00D52E42">
            <w:pPr>
              <w:jc w:val="center"/>
              <w:rPr>
                <w:rFonts w:ascii="Times New Roman" w:hAnsi="Times New Roman" w:cs="Times New Roman"/>
                <w:sz w:val="20"/>
                <w:szCs w:val="20"/>
                <w:lang w:val="uk-UA"/>
              </w:rPr>
            </w:pPr>
          </w:p>
        </w:tc>
        <w:tc>
          <w:tcPr>
            <w:tcW w:w="5660" w:type="dxa"/>
          </w:tcPr>
          <w:p w:rsidR="0017554C" w:rsidRPr="00521120" w:rsidRDefault="00614BFD" w:rsidP="00614BFD">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Кожний акціонер має право внести пропозиції щодо питань, включених до проекту порядку денного загальних зборів. Пропозиції вносяться не пізніше ніж за 20 днів до дати проведення загальних зборів. Пропозиції щодо включення нових питань до проекту порядку денного повинні містити відповідні проекти рішень з цих питань.</w:t>
            </w:r>
          </w:p>
          <w:p w:rsidR="00614BFD" w:rsidRPr="00521120" w:rsidRDefault="00614BFD" w:rsidP="00614BFD">
            <w:pPr>
              <w:jc w:val="both"/>
              <w:rPr>
                <w:rFonts w:ascii="Times New Roman" w:hAnsi="Times New Roman" w:cs="Times New Roman"/>
                <w:sz w:val="20"/>
                <w:szCs w:val="20"/>
                <w:lang w:val="uk-UA"/>
              </w:rPr>
            </w:pPr>
          </w:p>
          <w:p w:rsidR="00614BFD" w:rsidRPr="00521120" w:rsidRDefault="00614BFD" w:rsidP="006D33E6">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Пропозиція до проекту порядку денного загальних зборів направляється із зазначенням реквізитів акціонера, який її вносить, кількості, типу та/або класу належних йому акцій, змісту пропозиції, що може включати нові питання до проекту порядку денного та/або нові проекти рішень. Пропозиція до порядку денного Загальних зборів може бути направлена акціонером у вигляді електронного документу із засвідченням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такого акціонера, на адресу електронної пошти vatinvestbud@newmir.net</w:t>
            </w:r>
          </w:p>
        </w:tc>
      </w:tr>
      <w:tr w:rsidR="0017554C" w:rsidRPr="00521120" w:rsidTr="00321426">
        <w:tc>
          <w:tcPr>
            <w:tcW w:w="3685" w:type="dxa"/>
          </w:tcPr>
          <w:p w:rsidR="0017554C" w:rsidRPr="00521120" w:rsidRDefault="00D52E42"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Порядок участі та голосування на загальних зборах за довіреністю</w:t>
            </w:r>
          </w:p>
        </w:tc>
        <w:tc>
          <w:tcPr>
            <w:tcW w:w="5660" w:type="dxa"/>
          </w:tcPr>
          <w:p w:rsidR="00614BFD" w:rsidRPr="00521120" w:rsidRDefault="00614BFD" w:rsidP="00614BFD">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Кожен акціонер - власник голосуючих акцій має право реалізувати своє право на управління Товариством шляхом участі у загальних зборах та голосування шляхом подання бюлетенів для голосування депозитарній установі, яка обслуговує рахунок в цінних паперах такого акціонера, на якому обліковуються належні акціонеру акції Товариства.</w:t>
            </w:r>
          </w:p>
          <w:p w:rsidR="00614BFD" w:rsidRPr="00521120" w:rsidRDefault="00614BFD" w:rsidP="006D33E6">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Датою початку голосування акціонерів з відповідних питань порядку денного є дата розміщення бюлетеня для голосування у вільному для акціонерів доступі на власному веб-сайті ПрАТ «ІНВЕСТБУДСЕРВІС» за</w:t>
            </w:r>
            <w:r w:rsidR="006D33E6" w:rsidRPr="00521120">
              <w:rPr>
                <w:rFonts w:ascii="Times New Roman" w:hAnsi="Times New Roman" w:cs="Times New Roman"/>
                <w:sz w:val="20"/>
                <w:szCs w:val="20"/>
                <w:lang w:val="uk-UA"/>
              </w:rPr>
              <w:t xml:space="preserve"> </w:t>
            </w:r>
            <w:r w:rsidRPr="00521120">
              <w:rPr>
                <w:rFonts w:ascii="Times New Roman" w:hAnsi="Times New Roman" w:cs="Times New Roman"/>
                <w:sz w:val="20"/>
                <w:szCs w:val="20"/>
                <w:lang w:val="uk-UA"/>
              </w:rPr>
              <w:t>посиланням http://www.invest-buds.pat.ua/documents/povidomlennya-pro-provedennya-zagalnih-zboriv-akcioneriv.</w:t>
            </w:r>
          </w:p>
          <w:p w:rsidR="00614BFD" w:rsidRPr="00521120" w:rsidRDefault="00614BFD" w:rsidP="00614BFD">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Датою закінчення голосування акціонерів є дата проведення загальних зборів.</w:t>
            </w:r>
          </w:p>
          <w:p w:rsidR="00A97A0C" w:rsidRPr="00521120" w:rsidRDefault="00A97A0C" w:rsidP="00614BFD">
            <w:pPr>
              <w:jc w:val="both"/>
              <w:rPr>
                <w:rFonts w:ascii="Times New Roman" w:hAnsi="Times New Roman" w:cs="Times New Roman"/>
                <w:sz w:val="20"/>
                <w:szCs w:val="20"/>
                <w:lang w:val="uk-UA"/>
              </w:rPr>
            </w:pPr>
          </w:p>
          <w:p w:rsidR="00614BFD" w:rsidRPr="00521120" w:rsidRDefault="00614BFD" w:rsidP="00614BFD">
            <w:pPr>
              <w:jc w:val="both"/>
              <w:rPr>
                <w:rFonts w:ascii="Times New Roman" w:hAnsi="Times New Roman" w:cs="Times New Roman"/>
                <w:b/>
                <w:sz w:val="20"/>
                <w:szCs w:val="20"/>
                <w:lang w:val="uk-UA"/>
              </w:rPr>
            </w:pPr>
            <w:r w:rsidRPr="00521120">
              <w:rPr>
                <w:rFonts w:ascii="Times New Roman" w:hAnsi="Times New Roman" w:cs="Times New Roman"/>
                <w:b/>
                <w:sz w:val="20"/>
                <w:szCs w:val="20"/>
                <w:lang w:val="uk-UA"/>
              </w:rPr>
              <w:t>Звертаємо увагу, що бюлетені приймаються виключно до 18-00 дати</w:t>
            </w:r>
            <w:r w:rsidR="008C27B8">
              <w:rPr>
                <w:rFonts w:ascii="Times New Roman" w:hAnsi="Times New Roman" w:cs="Times New Roman"/>
                <w:b/>
                <w:sz w:val="20"/>
                <w:szCs w:val="20"/>
                <w:lang w:val="ru-UA"/>
              </w:rPr>
              <w:t xml:space="preserve"> </w:t>
            </w:r>
            <w:r w:rsidRPr="00521120">
              <w:rPr>
                <w:rFonts w:ascii="Times New Roman" w:hAnsi="Times New Roman" w:cs="Times New Roman"/>
                <w:b/>
                <w:sz w:val="20"/>
                <w:szCs w:val="20"/>
                <w:lang w:val="uk-UA"/>
              </w:rPr>
              <w:t xml:space="preserve">завершення голосування - </w:t>
            </w:r>
            <w:r w:rsidR="00F51984" w:rsidRPr="00521120">
              <w:rPr>
                <w:rFonts w:ascii="Times New Roman" w:hAnsi="Times New Roman" w:cs="Times New Roman"/>
                <w:b/>
                <w:sz w:val="20"/>
                <w:szCs w:val="20"/>
                <w:lang w:val="uk-UA"/>
              </w:rPr>
              <w:t>27.04.2026</w:t>
            </w:r>
            <w:r w:rsidRPr="00521120">
              <w:rPr>
                <w:rFonts w:ascii="Times New Roman" w:hAnsi="Times New Roman" w:cs="Times New Roman"/>
                <w:b/>
                <w:sz w:val="20"/>
                <w:szCs w:val="20"/>
                <w:lang w:val="uk-UA"/>
              </w:rPr>
              <w:t xml:space="preserve"> року.</w:t>
            </w:r>
          </w:p>
          <w:p w:rsidR="00614BFD" w:rsidRPr="00521120" w:rsidRDefault="00614BFD" w:rsidP="00614BFD">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Голосування на загальних зборах з питань порядку денного проводиться</w:t>
            </w:r>
            <w:r w:rsidR="00A97A0C" w:rsidRPr="00521120">
              <w:rPr>
                <w:rFonts w:ascii="Times New Roman" w:hAnsi="Times New Roman" w:cs="Times New Roman"/>
                <w:sz w:val="20"/>
                <w:szCs w:val="20"/>
                <w:lang w:val="uk-UA"/>
              </w:rPr>
              <w:t xml:space="preserve"> </w:t>
            </w:r>
            <w:r w:rsidRPr="00521120">
              <w:rPr>
                <w:rFonts w:ascii="Times New Roman" w:hAnsi="Times New Roman" w:cs="Times New Roman"/>
                <w:sz w:val="20"/>
                <w:szCs w:val="20"/>
                <w:lang w:val="uk-UA"/>
              </w:rPr>
              <w:t>виключно з використанням бюлетеня для голосування.</w:t>
            </w:r>
          </w:p>
          <w:p w:rsidR="00614BFD" w:rsidRPr="00521120" w:rsidRDefault="00614BFD" w:rsidP="00614BFD">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Кількість голосів в бюлетені для голосування зазначається акціонером (його представником) виходячи із кількості голосуючих акцій такого акціонера, які обліковуються на рахунку в цінних паперах акціонера, що обслуговується депозитарною установою.</w:t>
            </w:r>
          </w:p>
          <w:p w:rsidR="00614BFD" w:rsidRPr="00521120" w:rsidRDefault="00614BFD" w:rsidP="00614BFD">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Для реєстрації акціонерів (їх представників) таким акціонером (представником акціонера) направляються бюлетені для голосування на адресу електронної пошти депозитарної установи, яка обслуговує рахунок в цінних паперах такого акціонера, на якому обліковуються акціонеру акції Товариства на дату складення переліку акціонерів, які мають право на участь у загальних зборах Товариства.</w:t>
            </w:r>
          </w:p>
          <w:p w:rsidR="00614BFD" w:rsidRPr="00521120" w:rsidRDefault="00614BFD" w:rsidP="00614BFD">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rsidR="00614BFD" w:rsidRPr="00521120" w:rsidRDefault="00614BFD" w:rsidP="00614BFD">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rsidR="00614BFD" w:rsidRPr="00521120" w:rsidRDefault="00614BFD" w:rsidP="00614BFD">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Акціонер (його представник) в період проведення голосування може направити депозитарній установі, яка обслуговує рахунок у цінних паперах такого акціонера, на якому обліковуються належні акціонеру акції товариства, лише один бюлетень для голосування з одних і тих самих питань порядку денного.</w:t>
            </w:r>
          </w:p>
          <w:p w:rsidR="00B735B0" w:rsidRPr="00521120" w:rsidRDefault="00B735B0" w:rsidP="00B735B0">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Бюлетень для голосування на загальних зборах засвідчується кваліфікованим електронним підписом акціонера (його представника) та/або іншим засобом електронної ідентифікації, що відповідає вимогам, визначеним Національною комісією з цінних паперів та фондового ринку.</w:t>
            </w:r>
          </w:p>
          <w:p w:rsidR="00F260EA" w:rsidRPr="00521120" w:rsidRDefault="00B735B0" w:rsidP="00B735B0">
            <w:pPr>
              <w:jc w:val="both"/>
              <w:rPr>
                <w:rFonts w:ascii="Times New Roman" w:hAnsi="Times New Roman" w:cs="Times New Roman"/>
                <w:sz w:val="20"/>
                <w:szCs w:val="20"/>
              </w:rPr>
            </w:pPr>
            <w:r w:rsidRPr="00521120">
              <w:rPr>
                <w:rFonts w:ascii="Times New Roman" w:hAnsi="Times New Roman" w:cs="Times New Roman"/>
                <w:sz w:val="20"/>
                <w:szCs w:val="20"/>
                <w:lang w:val="uk-UA"/>
              </w:rPr>
              <w:t xml:space="preserve">Відповідно до рішення Національної комісії з цінних паперів та фондового ринку </w:t>
            </w:r>
            <w:r w:rsidR="002463CF">
              <w:rPr>
                <w:rFonts w:ascii="Times New Roman" w:hAnsi="Times New Roman" w:cs="Times New Roman"/>
                <w:sz w:val="20"/>
                <w:szCs w:val="20"/>
                <w:lang w:val="uk-UA"/>
              </w:rPr>
              <w:t xml:space="preserve">від </w:t>
            </w:r>
            <w:r w:rsidR="002463CF" w:rsidRPr="002463CF">
              <w:rPr>
                <w:rFonts w:ascii="Times New Roman" w:hAnsi="Times New Roman" w:cs="Times New Roman"/>
                <w:sz w:val="20"/>
                <w:szCs w:val="20"/>
                <w:lang w:val="uk-UA"/>
              </w:rPr>
              <w:t>16.02.2023</w:t>
            </w:r>
            <w:r w:rsidR="002463CF">
              <w:rPr>
                <w:rFonts w:ascii="Times New Roman" w:hAnsi="Times New Roman" w:cs="Times New Roman"/>
                <w:sz w:val="20"/>
                <w:szCs w:val="20"/>
                <w:lang w:val="uk-UA"/>
              </w:rPr>
              <w:t xml:space="preserve"> р.</w:t>
            </w:r>
            <w:r w:rsidR="002463CF" w:rsidRPr="002463CF">
              <w:rPr>
                <w:rFonts w:ascii="Times New Roman" w:hAnsi="Times New Roman" w:cs="Times New Roman"/>
                <w:sz w:val="20"/>
                <w:szCs w:val="20"/>
                <w:lang w:val="uk-UA"/>
              </w:rPr>
              <w:t xml:space="preserve"> № 154</w:t>
            </w:r>
            <w:r w:rsidR="002463CF">
              <w:rPr>
                <w:rFonts w:ascii="Times New Roman" w:hAnsi="Times New Roman" w:cs="Times New Roman"/>
                <w:sz w:val="20"/>
                <w:szCs w:val="20"/>
                <w:lang w:val="uk-UA"/>
              </w:rPr>
              <w:t xml:space="preserve"> (із змінами)</w:t>
            </w:r>
            <w:r w:rsidRPr="00521120">
              <w:rPr>
                <w:rFonts w:ascii="Times New Roman" w:hAnsi="Times New Roman" w:cs="Times New Roman"/>
                <w:sz w:val="20"/>
                <w:szCs w:val="20"/>
                <w:lang w:val="uk-UA"/>
              </w:rPr>
              <w:t>, у період дії воєнного стану бюлетені для голосування на дистанційних загальних зборах акціонерів можуть також подаватися шляхом подання бюлетенів в паперовій формі до депозитарної установи (у випадку відмови депозитарної установи у прийнятті бюлетеня - до акціонерного товариства, орган управління якого скликає загальні збори, за місцезнаходженням товариства). У разі подання бюлетенів для голосування в паперовій формі, підпис акціонера (представника акціонера) на бюлетені засвідчується за його вибором або нотаріально (за умови підписання бюлетеня в присутності нотаріуса або посадової особи,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У разі якщо бюлетень для голосування, поданий в паперовій формі, складається з кількох аркушів, сторінки бюлетеня нумеруються, а кожний аркуш підписується акціонером (представником акціонера)</w:t>
            </w:r>
          </w:p>
          <w:p w:rsidR="00321426" w:rsidRPr="00521120" w:rsidRDefault="00321426" w:rsidP="00B735B0">
            <w:pPr>
              <w:jc w:val="both"/>
              <w:rPr>
                <w:rFonts w:ascii="Times New Roman" w:hAnsi="Times New Roman" w:cs="Times New Roman"/>
                <w:b/>
                <w:sz w:val="20"/>
                <w:szCs w:val="20"/>
                <w:lang w:val="uk-UA"/>
              </w:rPr>
            </w:pPr>
            <w:r w:rsidRPr="00521120">
              <w:rPr>
                <w:rFonts w:ascii="Times New Roman" w:hAnsi="Times New Roman" w:cs="Times New Roman"/>
                <w:b/>
                <w:sz w:val="20"/>
                <w:szCs w:val="20"/>
                <w:lang w:val="uk-UA"/>
              </w:rPr>
              <w:t>Представник акціонера на загальних зборах.</w:t>
            </w:r>
          </w:p>
          <w:p w:rsidR="00321426" w:rsidRPr="00521120" w:rsidRDefault="00321426" w:rsidP="00321426">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Представником акціонера на загальних зборах може бути фізична особа або уповноважена особа юридичної особи. Представником акціонера - фізичної чи юридичної особи на загальних зборах може бути інша фізична особа або уповноважена особа юридичної особи. Акціонер має право призначити свого представника постійно або на певний строк.</w:t>
            </w:r>
          </w:p>
          <w:p w:rsidR="00321426" w:rsidRPr="00521120" w:rsidRDefault="00321426" w:rsidP="00321426">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порядку, встановленому Національною комісією з цінних паперів та фондового ринку.</w:t>
            </w:r>
          </w:p>
          <w:p w:rsidR="00321426" w:rsidRPr="00521120" w:rsidRDefault="00321426" w:rsidP="00321426">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321426" w:rsidRPr="00521120" w:rsidRDefault="00321426" w:rsidP="00321426">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Представник акціонера може отримувати від нього перелік питань порядку денного загальних зборів з інструкцією щодо голосування з цих питань (завдання щодо голосування), яка є невід’ємною частиною довіреності на право участі та голосування на загальних зборах. Під час голосування на загальних зборах представник повинен голосувати</w:t>
            </w:r>
          </w:p>
          <w:p w:rsidR="00321426" w:rsidRPr="00521120" w:rsidRDefault="00321426" w:rsidP="00321426">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відповідно до завдання щодо голосування. Якщо представник акціонера не має завдання щодо голосування, він здійснює голосування на загальних зборах на свій розсуд.</w:t>
            </w:r>
          </w:p>
          <w:p w:rsidR="00321426" w:rsidRPr="00521120" w:rsidRDefault="00321426" w:rsidP="00321426">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Акціонер має право видати довіреність на право участі та голосування на загальних зборах декільком своїм представникам.</w:t>
            </w:r>
          </w:p>
          <w:p w:rsidR="00321426" w:rsidRPr="00521120" w:rsidRDefault="00321426" w:rsidP="00321426">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У разі подання бюлетенів декількома представниками депонента, здійснюється ідентифікація та реєстрація того представника, довіреність якому була видана пізніше.</w:t>
            </w:r>
          </w:p>
          <w:p w:rsidR="00321426" w:rsidRPr="00521120" w:rsidRDefault="00321426" w:rsidP="00321426">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w:t>
            </w:r>
          </w:p>
          <w:p w:rsidR="00321426" w:rsidRPr="00521120" w:rsidRDefault="00321426" w:rsidP="00321426">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Видача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321426" w:rsidRPr="00521120" w:rsidRDefault="00321426" w:rsidP="00321426">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w:t>
            </w:r>
          </w:p>
          <w:p w:rsidR="00321426" w:rsidRPr="00521120" w:rsidRDefault="00321426" w:rsidP="00321426">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p>
          <w:p w:rsidR="00321426" w:rsidRPr="00521120" w:rsidRDefault="00321426" w:rsidP="00321426">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Особа, яку акціонер має намір уповноважити на участь у загальних зборах (далі - потенційний представник), повинна завчасно повідомити такого акціонера про наявність у неї конфлікту інтересів, пов’язаного з реалізацією права голосу, та надати інформацію, передбачену пунктом 64 Розділу XII Порядку скликання та проведення дистанційних загальних зборів акціонерів, затвердженого рішенням НКЦПФР від 06 березня 2023 року № 236.</w:t>
            </w:r>
          </w:p>
          <w:p w:rsidR="00321426" w:rsidRPr="00521120" w:rsidRDefault="00321426" w:rsidP="00321426">
            <w:pPr>
              <w:jc w:val="both"/>
              <w:rPr>
                <w:rFonts w:ascii="Times New Roman" w:hAnsi="Times New Roman" w:cs="Times New Roman"/>
                <w:sz w:val="20"/>
                <w:szCs w:val="20"/>
                <w:lang w:val="uk-UA"/>
              </w:rPr>
            </w:pPr>
          </w:p>
          <w:p w:rsidR="00321426" w:rsidRPr="00521120" w:rsidRDefault="00321426" w:rsidP="00321426">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Потенційний представник у передбачених пунктом 64 Розділу ХІІ Порядку скликання та проведення дистанційних загальних зборів акціонерів, затвердженого рішенням НКЦПФР від 06 березня 2023 року № 236, випадках повинен надати акціонеру інформацію про будь-які факти, які мають значення для прийняття акціонером рішення, пов’язаного з оцінкою ризику того, що така особа діятиме в інших інтересах, ніж інтереси акціонера, під час участі у загальних зборах.</w:t>
            </w:r>
          </w:p>
          <w:p w:rsidR="00321426" w:rsidRPr="00521120" w:rsidRDefault="00321426" w:rsidP="00321426">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Потенційний представник, який отримав довіреність, повинен відмовитися від представництва у разі невиконання вимог пункту 64 Розділу XII Порядку скликання та проведення дистанційних загальних зборів акціонерів, затвердженого рішенням НКЦПФР від 06 березня 2023 року № 236.</w:t>
            </w:r>
          </w:p>
          <w:p w:rsidR="00321426" w:rsidRPr="00521120" w:rsidRDefault="00321426" w:rsidP="00321426">
            <w:pPr>
              <w:jc w:val="both"/>
              <w:rPr>
                <w:rFonts w:ascii="Times New Roman" w:hAnsi="Times New Roman" w:cs="Times New Roman"/>
                <w:sz w:val="20"/>
                <w:szCs w:val="20"/>
                <w:lang w:val="uk-UA"/>
              </w:rPr>
            </w:pPr>
          </w:p>
          <w:p w:rsidR="00321426" w:rsidRPr="00521120" w:rsidRDefault="00321426" w:rsidP="00321426">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Потенційний представник може отримати довіреність від більше ніж одного акціонера без обмеження кількості представлених таким чином акціонерів. Потенційний представник, який отримав довіреності від кількох акціонерів, може обрати різні варіанти голосування за кожного акціонера, якого він представляє.</w:t>
            </w:r>
          </w:p>
          <w:p w:rsidR="00633AD4" w:rsidRPr="00521120" w:rsidRDefault="00633AD4" w:rsidP="00614BFD">
            <w:pPr>
              <w:jc w:val="both"/>
              <w:rPr>
                <w:rFonts w:ascii="Times New Roman" w:hAnsi="Times New Roman" w:cs="Times New Roman"/>
                <w:sz w:val="20"/>
                <w:szCs w:val="20"/>
                <w:lang w:val="uk-UA"/>
              </w:rPr>
            </w:pPr>
          </w:p>
        </w:tc>
      </w:tr>
      <w:tr w:rsidR="0017554C" w:rsidRPr="00521120" w:rsidTr="00321426">
        <w:tc>
          <w:tcPr>
            <w:tcW w:w="3685" w:type="dxa"/>
          </w:tcPr>
          <w:p w:rsidR="006F6971" w:rsidRPr="00521120" w:rsidRDefault="006F6971" w:rsidP="006F6971">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Дата і час початку та завершення голосування за допомогою авторизованої електронної системи</w:t>
            </w:r>
          </w:p>
          <w:p w:rsidR="0017554C" w:rsidRPr="00521120" w:rsidRDefault="0017554C" w:rsidP="006F6971">
            <w:pPr>
              <w:jc w:val="center"/>
              <w:rPr>
                <w:rFonts w:ascii="Times New Roman" w:hAnsi="Times New Roman" w:cs="Times New Roman"/>
                <w:sz w:val="20"/>
                <w:szCs w:val="20"/>
                <w:lang w:val="uk-UA"/>
              </w:rPr>
            </w:pPr>
          </w:p>
        </w:tc>
        <w:tc>
          <w:tcPr>
            <w:tcW w:w="5660" w:type="dxa"/>
          </w:tcPr>
          <w:p w:rsidR="0017554C" w:rsidRPr="00521120" w:rsidRDefault="006F6971"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w:t>
            </w:r>
          </w:p>
        </w:tc>
      </w:tr>
      <w:tr w:rsidR="0017554C" w:rsidRPr="00521120" w:rsidTr="00321426">
        <w:tc>
          <w:tcPr>
            <w:tcW w:w="3685" w:type="dxa"/>
          </w:tcPr>
          <w:p w:rsidR="006F6971" w:rsidRPr="00521120" w:rsidRDefault="006F6971" w:rsidP="006F6971">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Дата і час початку та завершення надсилання до депозитарної установи бюлетенів для голосування</w:t>
            </w:r>
          </w:p>
          <w:p w:rsidR="0017554C" w:rsidRPr="00521120" w:rsidRDefault="0017554C" w:rsidP="006F6971">
            <w:pPr>
              <w:jc w:val="center"/>
              <w:rPr>
                <w:rFonts w:ascii="Times New Roman" w:hAnsi="Times New Roman" w:cs="Times New Roman"/>
                <w:sz w:val="20"/>
                <w:szCs w:val="20"/>
                <w:lang w:val="uk-UA"/>
              </w:rPr>
            </w:pPr>
          </w:p>
        </w:tc>
        <w:tc>
          <w:tcPr>
            <w:tcW w:w="5660" w:type="dxa"/>
          </w:tcPr>
          <w:p w:rsidR="0017554C" w:rsidRPr="00521120" w:rsidRDefault="006F6971"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 xml:space="preserve">Початок: </w:t>
            </w:r>
            <w:r w:rsidR="00387275">
              <w:rPr>
                <w:rFonts w:ascii="Times New Roman" w:hAnsi="Times New Roman" w:cs="Times New Roman"/>
                <w:sz w:val="20"/>
                <w:szCs w:val="20"/>
                <w:lang w:val="uk-UA"/>
              </w:rPr>
              <w:t>17</w:t>
            </w:r>
            <w:r w:rsidR="00F51984" w:rsidRPr="00521120">
              <w:rPr>
                <w:rFonts w:ascii="Times New Roman" w:hAnsi="Times New Roman" w:cs="Times New Roman"/>
                <w:sz w:val="20"/>
                <w:szCs w:val="20"/>
                <w:lang w:val="uk-UA"/>
              </w:rPr>
              <w:t>.04.2026</w:t>
            </w:r>
            <w:r w:rsidRPr="00521120">
              <w:rPr>
                <w:rFonts w:ascii="Times New Roman" w:hAnsi="Times New Roman" w:cs="Times New Roman"/>
                <w:sz w:val="20"/>
                <w:szCs w:val="20"/>
                <w:lang w:val="uk-UA"/>
              </w:rPr>
              <w:t xml:space="preserve"> 11:00</w:t>
            </w:r>
          </w:p>
          <w:p w:rsidR="006F6971" w:rsidRPr="00521120" w:rsidRDefault="006F6971"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 xml:space="preserve">Завершення: </w:t>
            </w:r>
            <w:r w:rsidR="00F51984" w:rsidRPr="00521120">
              <w:rPr>
                <w:rFonts w:ascii="Times New Roman" w:hAnsi="Times New Roman" w:cs="Times New Roman"/>
                <w:sz w:val="20"/>
                <w:szCs w:val="20"/>
                <w:lang w:val="uk-UA"/>
              </w:rPr>
              <w:t>27.04.2026</w:t>
            </w:r>
            <w:r w:rsidRPr="00521120">
              <w:rPr>
                <w:rFonts w:ascii="Times New Roman" w:hAnsi="Times New Roman" w:cs="Times New Roman"/>
                <w:sz w:val="20"/>
                <w:szCs w:val="20"/>
                <w:lang w:val="uk-UA"/>
              </w:rPr>
              <w:t xml:space="preserve"> 18:00</w:t>
            </w:r>
          </w:p>
        </w:tc>
      </w:tr>
      <w:tr w:rsidR="0017554C" w:rsidRPr="00521120" w:rsidTr="00321426">
        <w:tc>
          <w:tcPr>
            <w:tcW w:w="3685" w:type="dxa"/>
          </w:tcPr>
          <w:p w:rsidR="006F6971" w:rsidRPr="00521120" w:rsidRDefault="006F6971" w:rsidP="006F6971">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Дані про мету зменшення розміру статутного капіталу та спосіб, у який буде</w:t>
            </w:r>
            <w:r w:rsidR="00387275">
              <w:rPr>
                <w:rFonts w:ascii="Times New Roman" w:hAnsi="Times New Roman" w:cs="Times New Roman"/>
                <w:sz w:val="20"/>
                <w:szCs w:val="20"/>
                <w:lang w:val="uk-UA"/>
              </w:rPr>
              <w:t xml:space="preserve"> </w:t>
            </w:r>
          </w:p>
          <w:p w:rsidR="006F6971" w:rsidRPr="00521120" w:rsidRDefault="006F6971" w:rsidP="006F6971">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проведено таку процедуру</w:t>
            </w:r>
          </w:p>
          <w:p w:rsidR="006F6971" w:rsidRPr="00521120" w:rsidRDefault="006F6971" w:rsidP="006F6971">
            <w:pPr>
              <w:jc w:val="center"/>
              <w:rPr>
                <w:rFonts w:ascii="Times New Roman" w:hAnsi="Times New Roman" w:cs="Times New Roman"/>
                <w:sz w:val="20"/>
                <w:szCs w:val="20"/>
                <w:lang w:val="uk-UA"/>
              </w:rPr>
            </w:pPr>
          </w:p>
          <w:p w:rsidR="0017554C" w:rsidRPr="00521120" w:rsidRDefault="0017554C" w:rsidP="006F6971">
            <w:pPr>
              <w:jc w:val="center"/>
              <w:rPr>
                <w:rFonts w:ascii="Times New Roman" w:hAnsi="Times New Roman" w:cs="Times New Roman"/>
                <w:sz w:val="20"/>
                <w:szCs w:val="20"/>
                <w:lang w:val="uk-UA"/>
              </w:rPr>
            </w:pPr>
          </w:p>
        </w:tc>
        <w:tc>
          <w:tcPr>
            <w:tcW w:w="5660" w:type="dxa"/>
          </w:tcPr>
          <w:p w:rsidR="0017554C" w:rsidRPr="00521120" w:rsidRDefault="006F6971"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w:t>
            </w:r>
          </w:p>
        </w:tc>
      </w:tr>
      <w:tr w:rsidR="0017554C" w:rsidRPr="00521120" w:rsidTr="00321426">
        <w:tc>
          <w:tcPr>
            <w:tcW w:w="3685" w:type="dxa"/>
          </w:tcPr>
          <w:p w:rsidR="0017554C" w:rsidRPr="00521120" w:rsidRDefault="006F6971" w:rsidP="0017554C">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Інші відомості, передбачені законодавством</w:t>
            </w:r>
          </w:p>
        </w:tc>
        <w:tc>
          <w:tcPr>
            <w:tcW w:w="5660" w:type="dxa"/>
          </w:tcPr>
          <w:p w:rsidR="006F6971" w:rsidRPr="00521120" w:rsidRDefault="006F6971" w:rsidP="006F6971">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 xml:space="preserve">Рішення про проведення </w:t>
            </w:r>
            <w:r w:rsidR="00F51984" w:rsidRPr="00521120">
              <w:rPr>
                <w:rFonts w:ascii="Times New Roman" w:hAnsi="Times New Roman" w:cs="Times New Roman"/>
                <w:sz w:val="20"/>
                <w:szCs w:val="20"/>
                <w:lang w:val="uk-UA"/>
              </w:rPr>
              <w:t>27.04.2026</w:t>
            </w:r>
            <w:r w:rsidRPr="00521120">
              <w:rPr>
                <w:rFonts w:ascii="Times New Roman" w:hAnsi="Times New Roman" w:cs="Times New Roman"/>
                <w:sz w:val="20"/>
                <w:szCs w:val="20"/>
                <w:lang w:val="uk-UA"/>
              </w:rPr>
              <w:t xml:space="preserve"> </w:t>
            </w:r>
            <w:r w:rsidR="00521120" w:rsidRPr="00521120">
              <w:rPr>
                <w:rFonts w:ascii="Times New Roman" w:hAnsi="Times New Roman" w:cs="Times New Roman"/>
                <w:sz w:val="20"/>
                <w:szCs w:val="20"/>
                <w:lang w:val="uk-UA"/>
              </w:rPr>
              <w:t>річн</w:t>
            </w:r>
            <w:r w:rsidRPr="00521120">
              <w:rPr>
                <w:rFonts w:ascii="Times New Roman" w:hAnsi="Times New Roman" w:cs="Times New Roman"/>
                <w:sz w:val="20"/>
                <w:szCs w:val="20"/>
                <w:lang w:val="uk-UA"/>
              </w:rPr>
              <w:t>их загальних зборів акціонерів ПрАТ «ІНВЕСТБУДСЕРВІС» шляхом опитування було прийня</w:t>
            </w:r>
            <w:r w:rsidR="00432771" w:rsidRPr="00521120">
              <w:rPr>
                <w:rFonts w:ascii="Times New Roman" w:hAnsi="Times New Roman" w:cs="Times New Roman"/>
                <w:sz w:val="20"/>
                <w:szCs w:val="20"/>
                <w:lang w:val="uk-UA"/>
              </w:rPr>
              <w:t xml:space="preserve">то Наглядовою радою Товариства </w:t>
            </w:r>
            <w:r w:rsidR="002463CF">
              <w:rPr>
                <w:rFonts w:ascii="Times New Roman" w:hAnsi="Times New Roman" w:cs="Times New Roman"/>
                <w:sz w:val="20"/>
                <w:szCs w:val="20"/>
                <w:lang w:val="uk-UA"/>
              </w:rPr>
              <w:t>26</w:t>
            </w:r>
            <w:r w:rsidRPr="00521120">
              <w:rPr>
                <w:rFonts w:ascii="Times New Roman" w:hAnsi="Times New Roman" w:cs="Times New Roman"/>
                <w:sz w:val="20"/>
                <w:szCs w:val="20"/>
                <w:lang w:val="uk-UA"/>
              </w:rPr>
              <w:t xml:space="preserve"> </w:t>
            </w:r>
            <w:r w:rsidR="002463CF">
              <w:rPr>
                <w:rFonts w:ascii="Times New Roman" w:hAnsi="Times New Roman" w:cs="Times New Roman"/>
                <w:sz w:val="20"/>
                <w:szCs w:val="20"/>
                <w:lang w:val="uk-UA"/>
              </w:rPr>
              <w:t>лютого</w:t>
            </w:r>
            <w:r w:rsidRPr="00521120">
              <w:rPr>
                <w:rFonts w:ascii="Times New Roman" w:hAnsi="Times New Roman" w:cs="Times New Roman"/>
                <w:sz w:val="20"/>
                <w:szCs w:val="20"/>
                <w:lang w:val="uk-UA"/>
              </w:rPr>
              <w:t xml:space="preserve"> 202</w:t>
            </w:r>
            <w:r w:rsidR="002463CF">
              <w:rPr>
                <w:rFonts w:ascii="Times New Roman" w:hAnsi="Times New Roman" w:cs="Times New Roman"/>
                <w:sz w:val="20"/>
                <w:szCs w:val="20"/>
                <w:lang w:val="uk-UA"/>
              </w:rPr>
              <w:t>6</w:t>
            </w:r>
            <w:r w:rsidRPr="00521120">
              <w:rPr>
                <w:rFonts w:ascii="Times New Roman" w:hAnsi="Times New Roman" w:cs="Times New Roman"/>
                <w:sz w:val="20"/>
                <w:szCs w:val="20"/>
                <w:lang w:val="uk-UA"/>
              </w:rPr>
              <w:t xml:space="preserve"> року</w:t>
            </w:r>
            <w:r w:rsidR="006D33E6" w:rsidRPr="00521120">
              <w:rPr>
                <w:rFonts w:ascii="Times New Roman" w:hAnsi="Times New Roman" w:cs="Times New Roman"/>
                <w:sz w:val="20"/>
                <w:szCs w:val="20"/>
                <w:lang w:val="uk-UA"/>
              </w:rPr>
              <w:t xml:space="preserve"> </w:t>
            </w:r>
            <w:r w:rsidRPr="00521120">
              <w:rPr>
                <w:rFonts w:ascii="Times New Roman" w:hAnsi="Times New Roman" w:cs="Times New Roman"/>
                <w:sz w:val="20"/>
                <w:szCs w:val="20"/>
                <w:lang w:val="uk-UA"/>
              </w:rPr>
              <w:t xml:space="preserve">(протокол засідання </w:t>
            </w:r>
            <w:r w:rsidR="00B6245D" w:rsidRPr="00521120">
              <w:rPr>
                <w:rFonts w:ascii="Times New Roman" w:hAnsi="Times New Roman" w:cs="Times New Roman"/>
                <w:sz w:val="20"/>
                <w:szCs w:val="20"/>
                <w:lang w:val="uk-UA"/>
              </w:rPr>
              <w:t xml:space="preserve">№ </w:t>
            </w:r>
            <w:r w:rsidR="002463CF">
              <w:rPr>
                <w:rFonts w:ascii="Times New Roman" w:hAnsi="Times New Roman" w:cs="Times New Roman"/>
                <w:sz w:val="20"/>
                <w:szCs w:val="20"/>
                <w:lang w:val="uk-UA"/>
              </w:rPr>
              <w:t>26/02</w:t>
            </w:r>
            <w:r w:rsidRPr="00521120">
              <w:rPr>
                <w:rFonts w:ascii="Times New Roman" w:hAnsi="Times New Roman" w:cs="Times New Roman"/>
                <w:sz w:val="20"/>
                <w:szCs w:val="20"/>
                <w:lang w:val="uk-UA"/>
              </w:rPr>
              <w:t>) на підставі рішення Національної комісії з цінн</w:t>
            </w:r>
            <w:r w:rsidR="00B6245D" w:rsidRPr="00521120">
              <w:rPr>
                <w:rFonts w:ascii="Times New Roman" w:hAnsi="Times New Roman" w:cs="Times New Roman"/>
                <w:sz w:val="20"/>
                <w:szCs w:val="20"/>
                <w:lang w:val="uk-UA"/>
              </w:rPr>
              <w:t xml:space="preserve">их паперів та фондового ринку № </w:t>
            </w:r>
            <w:r w:rsidRPr="00521120">
              <w:rPr>
                <w:rFonts w:ascii="Times New Roman" w:hAnsi="Times New Roman" w:cs="Times New Roman"/>
                <w:sz w:val="20"/>
                <w:szCs w:val="20"/>
                <w:lang w:val="uk-UA"/>
              </w:rPr>
              <w:t xml:space="preserve">154 від 16.02.2023 року "Щодо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 (із змінами і доповненнями) та у відповідності до Порядку скликання та проведення дистанційних загальних зборів акціонерів, затвердженого рішенням Національної комісії з цінних паперів та фондового ринку від 06 березня 2023 року </w:t>
            </w:r>
            <w:r w:rsidR="00B6245D" w:rsidRPr="00521120">
              <w:rPr>
                <w:rFonts w:ascii="Times New Roman" w:hAnsi="Times New Roman" w:cs="Times New Roman"/>
                <w:sz w:val="20"/>
                <w:szCs w:val="20"/>
                <w:lang w:val="uk-UA"/>
              </w:rPr>
              <w:t xml:space="preserve">№ </w:t>
            </w:r>
            <w:r w:rsidRPr="00521120">
              <w:rPr>
                <w:rFonts w:ascii="Times New Roman" w:hAnsi="Times New Roman" w:cs="Times New Roman"/>
                <w:sz w:val="20"/>
                <w:szCs w:val="20"/>
                <w:lang w:val="uk-UA"/>
              </w:rPr>
              <w:t>236.</w:t>
            </w:r>
          </w:p>
          <w:p w:rsidR="006F6971" w:rsidRPr="00521120" w:rsidRDefault="00F51984" w:rsidP="006F6971">
            <w:pPr>
              <w:jc w:val="both"/>
              <w:rPr>
                <w:rFonts w:ascii="Times New Roman" w:hAnsi="Times New Roman" w:cs="Times New Roman"/>
                <w:b/>
                <w:sz w:val="20"/>
                <w:szCs w:val="20"/>
                <w:lang w:val="uk-UA"/>
              </w:rPr>
            </w:pPr>
            <w:r w:rsidRPr="00521120">
              <w:rPr>
                <w:rFonts w:ascii="Times New Roman" w:hAnsi="Times New Roman" w:cs="Times New Roman"/>
                <w:b/>
                <w:sz w:val="20"/>
                <w:szCs w:val="20"/>
                <w:lang w:val="uk-UA"/>
              </w:rPr>
              <w:t>27.04.2026</w:t>
            </w:r>
            <w:r w:rsidR="006F6971" w:rsidRPr="00521120">
              <w:rPr>
                <w:rFonts w:ascii="Times New Roman" w:hAnsi="Times New Roman" w:cs="Times New Roman"/>
                <w:b/>
                <w:sz w:val="20"/>
                <w:szCs w:val="20"/>
                <w:lang w:val="uk-UA"/>
              </w:rPr>
              <w:t xml:space="preserve"> - дата проведення загальних зборів ПрАТ «ІНВЕСТБУДСЕРВІС» (дата завершення голосування).</w:t>
            </w:r>
          </w:p>
          <w:p w:rsidR="006F6971" w:rsidRPr="00521120" w:rsidRDefault="006F6971" w:rsidP="006F6971">
            <w:pPr>
              <w:jc w:val="both"/>
              <w:rPr>
                <w:rFonts w:ascii="Times New Roman" w:hAnsi="Times New Roman" w:cs="Times New Roman"/>
                <w:b/>
                <w:sz w:val="20"/>
                <w:szCs w:val="20"/>
                <w:lang w:val="uk-UA"/>
              </w:rPr>
            </w:pPr>
            <w:r w:rsidRPr="00521120">
              <w:rPr>
                <w:rFonts w:ascii="Times New Roman" w:hAnsi="Times New Roman" w:cs="Times New Roman"/>
                <w:sz w:val="20"/>
                <w:szCs w:val="20"/>
                <w:lang w:val="uk-UA"/>
              </w:rPr>
              <w:t>Дата і час початку надсилання до депозитарної установи бюлетенів для</w:t>
            </w:r>
            <w:r w:rsidR="00775AB5" w:rsidRPr="00521120">
              <w:rPr>
                <w:rFonts w:ascii="Times New Roman" w:hAnsi="Times New Roman" w:cs="Times New Roman"/>
                <w:sz w:val="20"/>
                <w:szCs w:val="20"/>
                <w:lang w:val="uk-UA"/>
              </w:rPr>
              <w:t xml:space="preserve"> голосування - </w:t>
            </w:r>
            <w:r w:rsidR="00387275">
              <w:rPr>
                <w:rFonts w:ascii="Times New Roman" w:hAnsi="Times New Roman" w:cs="Times New Roman"/>
                <w:b/>
                <w:sz w:val="20"/>
                <w:szCs w:val="20"/>
                <w:lang w:val="uk-UA"/>
              </w:rPr>
              <w:t>17</w:t>
            </w:r>
            <w:r w:rsidR="00F51984" w:rsidRPr="00521120">
              <w:rPr>
                <w:rFonts w:ascii="Times New Roman" w:hAnsi="Times New Roman" w:cs="Times New Roman"/>
                <w:b/>
                <w:sz w:val="20"/>
                <w:szCs w:val="20"/>
                <w:lang w:val="uk-UA"/>
              </w:rPr>
              <w:t>.04.2026</w:t>
            </w:r>
            <w:r w:rsidRPr="00521120">
              <w:rPr>
                <w:rFonts w:ascii="Times New Roman" w:hAnsi="Times New Roman" w:cs="Times New Roman"/>
                <w:b/>
                <w:sz w:val="20"/>
                <w:szCs w:val="20"/>
                <w:lang w:val="uk-UA"/>
              </w:rPr>
              <w:t xml:space="preserve"> року з 11 годин 00 хвилин.</w:t>
            </w:r>
          </w:p>
          <w:p w:rsidR="006F6971" w:rsidRPr="00521120" w:rsidRDefault="006F6971" w:rsidP="006F6971">
            <w:pPr>
              <w:jc w:val="both"/>
              <w:rPr>
                <w:rFonts w:ascii="Times New Roman" w:hAnsi="Times New Roman" w:cs="Times New Roman"/>
                <w:b/>
                <w:sz w:val="20"/>
                <w:szCs w:val="20"/>
                <w:lang w:val="uk-UA"/>
              </w:rPr>
            </w:pPr>
            <w:r w:rsidRPr="00521120">
              <w:rPr>
                <w:rFonts w:ascii="Times New Roman" w:hAnsi="Times New Roman" w:cs="Times New Roman"/>
                <w:sz w:val="20"/>
                <w:szCs w:val="20"/>
                <w:lang w:val="uk-UA"/>
              </w:rPr>
              <w:t>Дата і час завершення надсилання до депозитарної устано</w:t>
            </w:r>
            <w:r w:rsidR="00775AB5" w:rsidRPr="00521120">
              <w:rPr>
                <w:rFonts w:ascii="Times New Roman" w:hAnsi="Times New Roman" w:cs="Times New Roman"/>
                <w:sz w:val="20"/>
                <w:szCs w:val="20"/>
                <w:lang w:val="uk-UA"/>
              </w:rPr>
              <w:t xml:space="preserve">ви бюлетенів для голосування - </w:t>
            </w:r>
            <w:r w:rsidR="00F51984" w:rsidRPr="00521120">
              <w:rPr>
                <w:rFonts w:ascii="Times New Roman" w:hAnsi="Times New Roman" w:cs="Times New Roman"/>
                <w:b/>
                <w:sz w:val="20"/>
                <w:szCs w:val="20"/>
                <w:lang w:val="uk-UA"/>
              </w:rPr>
              <w:t>27.04.2026</w:t>
            </w:r>
            <w:r w:rsidRPr="00521120">
              <w:rPr>
                <w:rFonts w:ascii="Times New Roman" w:hAnsi="Times New Roman" w:cs="Times New Roman"/>
                <w:b/>
                <w:sz w:val="20"/>
                <w:szCs w:val="20"/>
                <w:lang w:val="uk-UA"/>
              </w:rPr>
              <w:t xml:space="preserve"> року о 18 годині 00 хвилин.</w:t>
            </w:r>
          </w:p>
          <w:p w:rsidR="006F6971" w:rsidRPr="00521120" w:rsidRDefault="002463CF" w:rsidP="006F6971">
            <w:pPr>
              <w:jc w:val="both"/>
              <w:rPr>
                <w:rFonts w:ascii="Times New Roman" w:hAnsi="Times New Roman" w:cs="Times New Roman"/>
                <w:sz w:val="20"/>
                <w:szCs w:val="20"/>
                <w:lang w:val="uk-UA"/>
              </w:rPr>
            </w:pPr>
            <w:r>
              <w:rPr>
                <w:rFonts w:ascii="Times New Roman" w:hAnsi="Times New Roman" w:cs="Times New Roman"/>
                <w:sz w:val="20"/>
                <w:szCs w:val="20"/>
                <w:lang w:val="uk-UA"/>
              </w:rPr>
              <w:t>17</w:t>
            </w:r>
            <w:r w:rsidR="00F51984" w:rsidRPr="00521120">
              <w:rPr>
                <w:rFonts w:ascii="Times New Roman" w:hAnsi="Times New Roman" w:cs="Times New Roman"/>
                <w:sz w:val="20"/>
                <w:szCs w:val="20"/>
                <w:lang w:val="uk-UA"/>
              </w:rPr>
              <w:t>.04.2026</w:t>
            </w:r>
            <w:r w:rsidR="006F6971" w:rsidRPr="00521120">
              <w:rPr>
                <w:rFonts w:ascii="Times New Roman" w:hAnsi="Times New Roman" w:cs="Times New Roman"/>
                <w:sz w:val="20"/>
                <w:szCs w:val="20"/>
                <w:lang w:val="uk-UA"/>
              </w:rPr>
              <w:t xml:space="preserve"> року - дата розміщення бюлетеня для голосування у вільному для акціонерів доступі на власному веб-сайті </w:t>
            </w:r>
            <w:r w:rsidR="00775AB5" w:rsidRPr="00521120">
              <w:rPr>
                <w:rFonts w:ascii="Times New Roman" w:hAnsi="Times New Roman" w:cs="Times New Roman"/>
                <w:sz w:val="20"/>
                <w:szCs w:val="20"/>
                <w:lang w:val="uk-UA"/>
              </w:rPr>
              <w:t xml:space="preserve">ПрАТ «ІНВЕСТБУДСЕРВІС» </w:t>
            </w:r>
            <w:r w:rsidR="006F6971" w:rsidRPr="00521120">
              <w:rPr>
                <w:rFonts w:ascii="Times New Roman" w:hAnsi="Times New Roman" w:cs="Times New Roman"/>
                <w:sz w:val="20"/>
                <w:szCs w:val="20"/>
                <w:lang w:val="uk-UA"/>
              </w:rPr>
              <w:t>(</w:t>
            </w:r>
            <w:r w:rsidR="00775AB5" w:rsidRPr="00521120">
              <w:rPr>
                <w:rFonts w:ascii="Times New Roman" w:hAnsi="Times New Roman" w:cs="Times New Roman"/>
                <w:sz w:val="20"/>
                <w:szCs w:val="20"/>
                <w:lang w:val="uk-UA"/>
              </w:rPr>
              <w:t>https://www.invest-buds.pat.ua</w:t>
            </w:r>
            <w:r w:rsidR="006F6971" w:rsidRPr="00521120">
              <w:rPr>
                <w:rFonts w:ascii="Times New Roman" w:hAnsi="Times New Roman" w:cs="Times New Roman"/>
                <w:sz w:val="20"/>
                <w:szCs w:val="20"/>
                <w:lang w:val="uk-UA"/>
              </w:rPr>
              <w:t>) у розділі "</w:t>
            </w:r>
            <w:r w:rsidR="00775AB5" w:rsidRPr="00521120">
              <w:rPr>
                <w:rFonts w:ascii="Times New Roman" w:hAnsi="Times New Roman" w:cs="Times New Roman"/>
                <w:sz w:val="20"/>
                <w:szCs w:val="20"/>
                <w:lang w:val="uk-UA"/>
              </w:rPr>
              <w:t>Повідомлення про проведення загальних зборів акціонерів</w:t>
            </w:r>
            <w:r w:rsidR="006F6971" w:rsidRPr="00521120">
              <w:rPr>
                <w:rFonts w:ascii="Times New Roman" w:hAnsi="Times New Roman" w:cs="Times New Roman"/>
                <w:sz w:val="20"/>
                <w:szCs w:val="20"/>
                <w:lang w:val="uk-UA"/>
              </w:rPr>
              <w:t>" за посиланням</w:t>
            </w:r>
            <w:r w:rsidR="00A74C53">
              <w:rPr>
                <w:rFonts w:ascii="Times New Roman" w:hAnsi="Times New Roman" w:cs="Times New Roman"/>
                <w:sz w:val="20"/>
                <w:szCs w:val="20"/>
                <w:lang w:val="uk-UA"/>
              </w:rPr>
              <w:t xml:space="preserve"> </w:t>
            </w:r>
            <w:r w:rsidR="00775AB5" w:rsidRPr="00521120">
              <w:rPr>
                <w:rFonts w:ascii="Times New Roman" w:hAnsi="Times New Roman" w:cs="Times New Roman"/>
                <w:sz w:val="20"/>
                <w:szCs w:val="20"/>
                <w:lang w:val="uk-UA"/>
              </w:rPr>
              <w:t>http://www.invest-buds.pat.ua/documents/povidomlennya-pro-provedennya-zagalnih-zboriv-akcioneriv</w:t>
            </w:r>
            <w:r w:rsidR="006F6971" w:rsidRPr="00521120">
              <w:rPr>
                <w:rFonts w:ascii="Times New Roman" w:hAnsi="Times New Roman" w:cs="Times New Roman"/>
                <w:sz w:val="20"/>
                <w:szCs w:val="20"/>
                <w:lang w:val="uk-UA"/>
              </w:rPr>
              <w:t>.</w:t>
            </w:r>
          </w:p>
          <w:p w:rsidR="00775AB5" w:rsidRPr="00521120" w:rsidRDefault="00775AB5" w:rsidP="006F6971">
            <w:pPr>
              <w:jc w:val="both"/>
              <w:rPr>
                <w:rFonts w:ascii="Times New Roman" w:hAnsi="Times New Roman" w:cs="Times New Roman"/>
                <w:sz w:val="20"/>
                <w:szCs w:val="20"/>
                <w:lang w:val="uk-UA"/>
              </w:rPr>
            </w:pPr>
          </w:p>
          <w:p w:rsidR="006F6971" w:rsidRPr="00521120" w:rsidRDefault="006F6971" w:rsidP="006F6971">
            <w:pPr>
              <w:jc w:val="both"/>
              <w:rPr>
                <w:rFonts w:ascii="Times New Roman" w:hAnsi="Times New Roman" w:cs="Times New Roman"/>
                <w:b/>
                <w:sz w:val="20"/>
                <w:szCs w:val="20"/>
                <w:lang w:val="uk-UA"/>
              </w:rPr>
            </w:pPr>
            <w:r w:rsidRPr="00521120">
              <w:rPr>
                <w:rFonts w:ascii="Times New Roman" w:hAnsi="Times New Roman" w:cs="Times New Roman"/>
                <w:b/>
                <w:sz w:val="20"/>
                <w:szCs w:val="20"/>
                <w:lang w:val="uk-UA"/>
              </w:rPr>
              <w:t xml:space="preserve">Інформація про </w:t>
            </w:r>
            <w:r w:rsidR="00775AB5" w:rsidRPr="00521120">
              <w:rPr>
                <w:rFonts w:ascii="Times New Roman" w:hAnsi="Times New Roman" w:cs="Times New Roman"/>
                <w:b/>
                <w:sz w:val="20"/>
                <w:szCs w:val="20"/>
                <w:lang w:val="uk-UA"/>
              </w:rPr>
              <w:t>взаємозв’язок</w:t>
            </w:r>
            <w:r w:rsidRPr="00521120">
              <w:rPr>
                <w:rFonts w:ascii="Times New Roman" w:hAnsi="Times New Roman" w:cs="Times New Roman"/>
                <w:b/>
                <w:sz w:val="20"/>
                <w:szCs w:val="20"/>
                <w:lang w:val="uk-UA"/>
              </w:rPr>
              <w:t xml:space="preserve"> між визначеними питаннями,</w:t>
            </w:r>
            <w:r w:rsidR="00775AB5" w:rsidRPr="00521120">
              <w:rPr>
                <w:rFonts w:ascii="Times New Roman" w:hAnsi="Times New Roman" w:cs="Times New Roman"/>
                <w:b/>
                <w:sz w:val="20"/>
                <w:szCs w:val="20"/>
                <w:lang w:val="uk-UA"/>
              </w:rPr>
              <w:t xml:space="preserve"> </w:t>
            </w:r>
            <w:r w:rsidRPr="00521120">
              <w:rPr>
                <w:rFonts w:ascii="Times New Roman" w:hAnsi="Times New Roman" w:cs="Times New Roman"/>
                <w:b/>
                <w:sz w:val="20"/>
                <w:szCs w:val="20"/>
                <w:lang w:val="uk-UA"/>
              </w:rPr>
              <w:t>включеними до проекту порядку денного.</w:t>
            </w:r>
          </w:p>
          <w:p w:rsidR="006F6971" w:rsidRPr="00521120" w:rsidRDefault="006F6971" w:rsidP="006F6971">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 xml:space="preserve">Відсутній </w:t>
            </w:r>
            <w:r w:rsidR="00775AB5" w:rsidRPr="00521120">
              <w:rPr>
                <w:rFonts w:ascii="Times New Roman" w:hAnsi="Times New Roman" w:cs="Times New Roman"/>
                <w:sz w:val="20"/>
                <w:szCs w:val="20"/>
                <w:lang w:val="uk-UA"/>
              </w:rPr>
              <w:t>взаємозв’язок</w:t>
            </w:r>
            <w:r w:rsidRPr="00521120">
              <w:rPr>
                <w:rFonts w:ascii="Times New Roman" w:hAnsi="Times New Roman" w:cs="Times New Roman"/>
                <w:sz w:val="20"/>
                <w:szCs w:val="20"/>
                <w:lang w:val="uk-UA"/>
              </w:rPr>
              <w:t xml:space="preserve"> між питаннями проєкту порядку денного </w:t>
            </w:r>
            <w:r w:rsidR="00521120" w:rsidRPr="00521120">
              <w:rPr>
                <w:rFonts w:ascii="Times New Roman" w:hAnsi="Times New Roman" w:cs="Times New Roman"/>
                <w:sz w:val="20"/>
                <w:szCs w:val="20"/>
                <w:lang w:val="uk-UA"/>
              </w:rPr>
              <w:t>річн</w:t>
            </w:r>
            <w:r w:rsidRPr="00521120">
              <w:rPr>
                <w:rFonts w:ascii="Times New Roman" w:hAnsi="Times New Roman" w:cs="Times New Roman"/>
                <w:sz w:val="20"/>
                <w:szCs w:val="20"/>
                <w:lang w:val="uk-UA"/>
              </w:rPr>
              <w:t xml:space="preserve">их загальних зборів акціонерів </w:t>
            </w:r>
            <w:r w:rsidR="00775AB5" w:rsidRPr="00521120">
              <w:rPr>
                <w:rFonts w:ascii="Times New Roman" w:hAnsi="Times New Roman" w:cs="Times New Roman"/>
                <w:sz w:val="20"/>
                <w:szCs w:val="20"/>
                <w:lang w:val="uk-UA"/>
              </w:rPr>
              <w:t>ПрАТ «ІНВЕСТБУДСЕРВІС»</w:t>
            </w:r>
            <w:r w:rsidRPr="00521120">
              <w:rPr>
                <w:rFonts w:ascii="Times New Roman" w:hAnsi="Times New Roman" w:cs="Times New Roman"/>
                <w:sz w:val="20"/>
                <w:szCs w:val="20"/>
                <w:lang w:val="uk-UA"/>
              </w:rPr>
              <w:t>.</w:t>
            </w:r>
          </w:p>
          <w:p w:rsidR="006F6971" w:rsidRPr="00521120" w:rsidRDefault="006F6971" w:rsidP="006F6971">
            <w:pPr>
              <w:jc w:val="both"/>
              <w:rPr>
                <w:rFonts w:ascii="Times New Roman" w:hAnsi="Times New Roman" w:cs="Times New Roman"/>
                <w:sz w:val="20"/>
                <w:szCs w:val="20"/>
                <w:lang w:val="uk-UA"/>
              </w:rPr>
            </w:pPr>
          </w:p>
          <w:p w:rsidR="006F6971" w:rsidRPr="00521120" w:rsidRDefault="006F6971" w:rsidP="006F6971">
            <w:pPr>
              <w:jc w:val="both"/>
              <w:rPr>
                <w:rFonts w:ascii="Times New Roman" w:hAnsi="Times New Roman" w:cs="Times New Roman"/>
                <w:b/>
                <w:sz w:val="20"/>
                <w:szCs w:val="20"/>
                <w:lang w:val="uk-UA"/>
              </w:rPr>
            </w:pPr>
            <w:r w:rsidRPr="00521120">
              <w:rPr>
                <w:rFonts w:ascii="Times New Roman" w:hAnsi="Times New Roman" w:cs="Times New Roman"/>
                <w:b/>
                <w:sz w:val="20"/>
                <w:szCs w:val="20"/>
                <w:lang w:val="uk-UA"/>
              </w:rPr>
              <w:t>Інформація щодо необхідності укладення договорів</w:t>
            </w:r>
            <w:r w:rsidR="00775AB5" w:rsidRPr="00521120">
              <w:rPr>
                <w:rFonts w:ascii="Times New Roman" w:hAnsi="Times New Roman" w:cs="Times New Roman"/>
                <w:b/>
                <w:sz w:val="20"/>
                <w:szCs w:val="20"/>
                <w:lang w:val="uk-UA"/>
              </w:rPr>
              <w:t xml:space="preserve"> </w:t>
            </w:r>
            <w:r w:rsidRPr="00521120">
              <w:rPr>
                <w:rFonts w:ascii="Times New Roman" w:hAnsi="Times New Roman" w:cs="Times New Roman"/>
                <w:b/>
                <w:sz w:val="20"/>
                <w:szCs w:val="20"/>
                <w:lang w:val="uk-UA"/>
              </w:rPr>
              <w:t>депозитарними установами особами, яким рахунок в цінних паперах депозитарною установою відкрито на підставі договору з емітентом для забезпечення реалізації права на участь у дистанційних загальних зборах.</w:t>
            </w:r>
          </w:p>
          <w:p w:rsidR="006F6971" w:rsidRPr="00521120" w:rsidRDefault="006F6971" w:rsidP="006F6971">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Звертаємо увагу, що відповідно до пункту 10 розділу VI Закону України</w:t>
            </w:r>
            <w:r w:rsidR="00516D12" w:rsidRPr="00521120">
              <w:rPr>
                <w:rFonts w:ascii="Times New Roman" w:hAnsi="Times New Roman" w:cs="Times New Roman"/>
                <w:sz w:val="20"/>
                <w:szCs w:val="20"/>
                <w:lang w:val="uk-UA"/>
              </w:rPr>
              <w:t xml:space="preserve"> </w:t>
            </w:r>
            <w:r w:rsidRPr="00521120">
              <w:rPr>
                <w:rFonts w:ascii="Times New Roman" w:hAnsi="Times New Roman" w:cs="Times New Roman"/>
                <w:sz w:val="20"/>
                <w:szCs w:val="20"/>
                <w:lang w:val="uk-UA"/>
              </w:rPr>
              <w:t xml:space="preserve">"Про депозитарну систему України" власник цінних паперів </w:t>
            </w:r>
            <w:r w:rsidR="00516D12" w:rsidRPr="00521120">
              <w:rPr>
                <w:rFonts w:ascii="Times New Roman" w:hAnsi="Times New Roman" w:cs="Times New Roman"/>
                <w:sz w:val="20"/>
                <w:szCs w:val="20"/>
                <w:lang w:val="uk-UA"/>
              </w:rPr>
              <w:t>зобов’язаний</w:t>
            </w:r>
            <w:r w:rsidRPr="00521120">
              <w:rPr>
                <w:rFonts w:ascii="Times New Roman" w:hAnsi="Times New Roman" w:cs="Times New Roman"/>
                <w:sz w:val="20"/>
                <w:szCs w:val="20"/>
                <w:lang w:val="uk-UA"/>
              </w:rPr>
              <w:t xml:space="preserve"> звернутися до обраної емітентом депозитарної установи та укласти з нею договір про обслуговування рахунк</w:t>
            </w:r>
            <w:r w:rsidR="00516D12" w:rsidRPr="00521120">
              <w:rPr>
                <w:rFonts w:ascii="Times New Roman" w:hAnsi="Times New Roman" w:cs="Times New Roman"/>
                <w:sz w:val="20"/>
                <w:szCs w:val="20"/>
                <w:lang w:val="uk-UA"/>
              </w:rPr>
              <w:t>у</w:t>
            </w:r>
            <w:r w:rsidRPr="00521120">
              <w:rPr>
                <w:rFonts w:ascii="Times New Roman" w:hAnsi="Times New Roman" w:cs="Times New Roman"/>
                <w:sz w:val="20"/>
                <w:szCs w:val="20"/>
                <w:lang w:val="uk-UA"/>
              </w:rPr>
              <w:t xml:space="preserve"> в цінних паперах від власного імені або здійснити переказ прав на цінні папери на свій рахунок в цінних паперах, відкритий в іншій депозитарній установі. У разі якщо власник цінних паперів до теперішнього часу не уклав з</w:t>
            </w:r>
            <w:r w:rsidR="00516D12" w:rsidRPr="00521120">
              <w:rPr>
                <w:rFonts w:ascii="Times New Roman" w:hAnsi="Times New Roman" w:cs="Times New Roman"/>
                <w:sz w:val="20"/>
                <w:szCs w:val="20"/>
                <w:lang w:val="uk-UA"/>
              </w:rPr>
              <w:t xml:space="preserve"> обраною емітентом депозитарною установою договір про обслуговування рахунку в цінних паперах від власного імені </w:t>
            </w:r>
            <w:r w:rsidRPr="00521120">
              <w:rPr>
                <w:rFonts w:ascii="Times New Roman" w:hAnsi="Times New Roman" w:cs="Times New Roman"/>
                <w:sz w:val="20"/>
                <w:szCs w:val="20"/>
                <w:lang w:val="uk-UA"/>
              </w:rPr>
              <w:t>або не здійснив переказ належних йому прав на цінні папери на свій рахунок у цінних паперах, відкритий в іншій депозитарній установі, такі цінні папери не будуть враховані при визначенні кворуму та при голосуванні на загальних зборах Товариства. Обмеження щодо врахування цінних паперів при визначенні кворуму та при голосуванні на загальних зборах</w:t>
            </w:r>
            <w:r w:rsidR="00516D12" w:rsidRPr="00521120">
              <w:rPr>
                <w:rFonts w:ascii="Times New Roman" w:hAnsi="Times New Roman" w:cs="Times New Roman"/>
                <w:sz w:val="20"/>
                <w:szCs w:val="20"/>
                <w:lang w:val="uk-UA"/>
              </w:rPr>
              <w:t xml:space="preserve"> Товариства встановлюються депозитарною установою в системі депозитарного обліку.</w:t>
            </w:r>
          </w:p>
          <w:p w:rsidR="0017554C" w:rsidRPr="00521120" w:rsidRDefault="006F6971" w:rsidP="00516D12">
            <w:pPr>
              <w:jc w:val="both"/>
              <w:rPr>
                <w:rFonts w:ascii="Times New Roman" w:hAnsi="Times New Roman" w:cs="Times New Roman"/>
                <w:sz w:val="20"/>
                <w:szCs w:val="20"/>
                <w:lang w:val="uk-UA"/>
              </w:rPr>
            </w:pPr>
            <w:r w:rsidRPr="00521120">
              <w:rPr>
                <w:rFonts w:ascii="Times New Roman" w:hAnsi="Times New Roman" w:cs="Times New Roman"/>
                <w:sz w:val="20"/>
                <w:szCs w:val="20"/>
                <w:lang w:val="uk-UA"/>
              </w:rPr>
              <w:t>Для забезпечення реалізації права на участь у дистанційних загальн</w:t>
            </w:r>
            <w:r w:rsidR="00516D12" w:rsidRPr="00521120">
              <w:rPr>
                <w:rFonts w:ascii="Times New Roman" w:hAnsi="Times New Roman" w:cs="Times New Roman"/>
                <w:sz w:val="20"/>
                <w:szCs w:val="20"/>
                <w:lang w:val="uk-UA"/>
              </w:rPr>
              <w:t>их</w:t>
            </w:r>
            <w:r w:rsidRPr="00521120">
              <w:rPr>
                <w:rFonts w:ascii="Times New Roman" w:hAnsi="Times New Roman" w:cs="Times New Roman"/>
                <w:sz w:val="20"/>
                <w:szCs w:val="20"/>
                <w:lang w:val="uk-UA"/>
              </w:rPr>
              <w:t xml:space="preserve"> зборах особам, яким рахунок в цінних паперах депозитарною установо відкрито на підставі договору з емітентом, необхідно укласти догов</w:t>
            </w:r>
            <w:r w:rsidR="00516D12" w:rsidRPr="00521120">
              <w:rPr>
                <w:rFonts w:ascii="Times New Roman" w:hAnsi="Times New Roman" w:cs="Times New Roman"/>
                <w:sz w:val="20"/>
                <w:szCs w:val="20"/>
                <w:lang w:val="uk-UA"/>
              </w:rPr>
              <w:t xml:space="preserve">ір </w:t>
            </w:r>
            <w:r w:rsidRPr="00521120">
              <w:rPr>
                <w:rFonts w:ascii="Times New Roman" w:hAnsi="Times New Roman" w:cs="Times New Roman"/>
                <w:sz w:val="20"/>
                <w:szCs w:val="20"/>
                <w:lang w:val="uk-UA"/>
              </w:rPr>
              <w:t xml:space="preserve"> про обслуговування рахунку в цінних паперах з обраною депозитарно</w:t>
            </w:r>
            <w:r w:rsidR="00516D12" w:rsidRPr="00521120">
              <w:rPr>
                <w:rFonts w:ascii="Times New Roman" w:hAnsi="Times New Roman" w:cs="Times New Roman"/>
                <w:sz w:val="20"/>
                <w:szCs w:val="20"/>
                <w:lang w:val="uk-UA"/>
              </w:rPr>
              <w:t xml:space="preserve">ю </w:t>
            </w:r>
            <w:r w:rsidRPr="00521120">
              <w:rPr>
                <w:rFonts w:ascii="Times New Roman" w:hAnsi="Times New Roman" w:cs="Times New Roman"/>
                <w:sz w:val="20"/>
                <w:szCs w:val="20"/>
                <w:lang w:val="uk-UA"/>
              </w:rPr>
              <w:t>установою.</w:t>
            </w:r>
          </w:p>
        </w:tc>
      </w:tr>
      <w:tr w:rsidR="00026E04" w:rsidRPr="00521120" w:rsidTr="00321426">
        <w:tc>
          <w:tcPr>
            <w:tcW w:w="3685" w:type="dxa"/>
          </w:tcPr>
          <w:p w:rsidR="00026E04" w:rsidRPr="00521120" w:rsidRDefault="00026E04" w:rsidP="00026E04">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Номер і дата рішення ради (виконавчого органу, якщо створення ради не передбачено) акціонерного товариства про затвердження повідомлення</w:t>
            </w:r>
          </w:p>
        </w:tc>
        <w:tc>
          <w:tcPr>
            <w:tcW w:w="5660" w:type="dxa"/>
          </w:tcPr>
          <w:p w:rsidR="00026E04" w:rsidRPr="00C351E5" w:rsidRDefault="00026E04" w:rsidP="00026E04">
            <w:pPr>
              <w:jc w:val="center"/>
              <w:rPr>
                <w:rFonts w:ascii="Times New Roman" w:hAnsi="Times New Roman" w:cs="Times New Roman"/>
                <w:sz w:val="20"/>
                <w:szCs w:val="20"/>
                <w:lang w:val="uk-UA"/>
              </w:rPr>
            </w:pPr>
            <w:r w:rsidRPr="00C351E5">
              <w:rPr>
                <w:rFonts w:ascii="Times New Roman" w:hAnsi="Times New Roman" w:cs="Times New Roman"/>
                <w:sz w:val="20"/>
                <w:szCs w:val="20"/>
                <w:lang w:val="uk-UA"/>
              </w:rPr>
              <w:t>Протокол засідання наглядової ради №26/02 від 26.02.2026</w:t>
            </w:r>
          </w:p>
        </w:tc>
      </w:tr>
      <w:tr w:rsidR="00026E04" w:rsidRPr="00521120" w:rsidTr="00321426">
        <w:tc>
          <w:tcPr>
            <w:tcW w:w="3685" w:type="dxa"/>
          </w:tcPr>
          <w:p w:rsidR="00026E04" w:rsidRPr="00521120" w:rsidRDefault="00026E04" w:rsidP="00026E04">
            <w:pPr>
              <w:jc w:val="center"/>
              <w:rPr>
                <w:rFonts w:ascii="Times New Roman" w:hAnsi="Times New Roman" w:cs="Times New Roman"/>
                <w:sz w:val="20"/>
                <w:szCs w:val="20"/>
                <w:lang w:val="uk-UA"/>
              </w:rPr>
            </w:pPr>
            <w:r w:rsidRPr="00521120">
              <w:rPr>
                <w:rFonts w:ascii="Times New Roman" w:hAnsi="Times New Roman" w:cs="Times New Roman"/>
                <w:sz w:val="20"/>
                <w:szCs w:val="20"/>
                <w:lang w:val="uk-UA"/>
              </w:rPr>
              <w:t>Дата складання повідомлення</w:t>
            </w:r>
          </w:p>
        </w:tc>
        <w:tc>
          <w:tcPr>
            <w:tcW w:w="5660" w:type="dxa"/>
          </w:tcPr>
          <w:p w:rsidR="00026E04" w:rsidRPr="00C351E5" w:rsidRDefault="00026E04" w:rsidP="00026E04">
            <w:pPr>
              <w:jc w:val="center"/>
              <w:rPr>
                <w:rFonts w:ascii="Times New Roman" w:hAnsi="Times New Roman" w:cs="Times New Roman"/>
                <w:sz w:val="20"/>
                <w:szCs w:val="20"/>
                <w:lang w:val="uk-UA"/>
              </w:rPr>
            </w:pPr>
            <w:r w:rsidRPr="00C351E5">
              <w:rPr>
                <w:rFonts w:ascii="Times New Roman" w:hAnsi="Times New Roman" w:cs="Times New Roman"/>
                <w:sz w:val="20"/>
                <w:szCs w:val="20"/>
                <w:lang w:val="uk-UA"/>
              </w:rPr>
              <w:t>03.03.2026</w:t>
            </w:r>
          </w:p>
        </w:tc>
      </w:tr>
    </w:tbl>
    <w:p w:rsidR="0017554C" w:rsidRPr="00521120" w:rsidRDefault="0017554C" w:rsidP="0017554C">
      <w:pPr>
        <w:spacing w:after="0" w:line="240" w:lineRule="auto"/>
        <w:jc w:val="center"/>
        <w:rPr>
          <w:rFonts w:ascii="Times New Roman" w:hAnsi="Times New Roman" w:cs="Times New Roman"/>
          <w:sz w:val="20"/>
          <w:szCs w:val="20"/>
          <w:lang w:val="uk-UA"/>
        </w:rPr>
      </w:pPr>
    </w:p>
    <w:sectPr w:rsidR="0017554C" w:rsidRPr="00521120" w:rsidSect="00521120">
      <w:footerReference w:type="default" r:id="rId10"/>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120" w:rsidRDefault="00521120" w:rsidP="00521120">
      <w:pPr>
        <w:spacing w:after="0" w:line="240" w:lineRule="auto"/>
      </w:pPr>
      <w:r>
        <w:separator/>
      </w:r>
    </w:p>
  </w:endnote>
  <w:endnote w:type="continuationSeparator" w:id="0">
    <w:p w:rsidR="00521120" w:rsidRDefault="00521120" w:rsidP="00521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579487"/>
      <w:docPartObj>
        <w:docPartGallery w:val="Page Numbers (Bottom of Page)"/>
        <w:docPartUnique/>
      </w:docPartObj>
    </w:sdtPr>
    <w:sdtEndPr>
      <w:rPr>
        <w:rFonts w:ascii="Times New Roman" w:hAnsi="Times New Roman" w:cs="Times New Roman"/>
        <w:sz w:val="18"/>
        <w:szCs w:val="18"/>
      </w:rPr>
    </w:sdtEndPr>
    <w:sdtContent>
      <w:p w:rsidR="00521120" w:rsidRPr="00521120" w:rsidRDefault="00521120" w:rsidP="00521120">
        <w:pPr>
          <w:pStyle w:val="ab"/>
          <w:jc w:val="right"/>
          <w:rPr>
            <w:rFonts w:ascii="Times New Roman" w:hAnsi="Times New Roman" w:cs="Times New Roman"/>
            <w:sz w:val="18"/>
            <w:szCs w:val="18"/>
          </w:rPr>
        </w:pPr>
        <w:r w:rsidRPr="00521120">
          <w:rPr>
            <w:rFonts w:ascii="Times New Roman" w:hAnsi="Times New Roman" w:cs="Times New Roman"/>
            <w:sz w:val="18"/>
            <w:szCs w:val="18"/>
          </w:rPr>
          <w:fldChar w:fldCharType="begin"/>
        </w:r>
        <w:r w:rsidRPr="00521120">
          <w:rPr>
            <w:rFonts w:ascii="Times New Roman" w:hAnsi="Times New Roman" w:cs="Times New Roman"/>
            <w:sz w:val="18"/>
            <w:szCs w:val="18"/>
          </w:rPr>
          <w:instrText>PAGE   \* MERGEFORMAT</w:instrText>
        </w:r>
        <w:r w:rsidRPr="00521120">
          <w:rPr>
            <w:rFonts w:ascii="Times New Roman" w:hAnsi="Times New Roman" w:cs="Times New Roman"/>
            <w:sz w:val="18"/>
            <w:szCs w:val="18"/>
          </w:rPr>
          <w:fldChar w:fldCharType="separate"/>
        </w:r>
        <w:r w:rsidR="00C351E5">
          <w:rPr>
            <w:rFonts w:ascii="Times New Roman" w:hAnsi="Times New Roman" w:cs="Times New Roman"/>
            <w:noProof/>
            <w:sz w:val="18"/>
            <w:szCs w:val="18"/>
          </w:rPr>
          <w:t>1</w:t>
        </w:r>
        <w:r w:rsidRPr="00521120">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120" w:rsidRDefault="00521120" w:rsidP="00521120">
      <w:pPr>
        <w:spacing w:after="0" w:line="240" w:lineRule="auto"/>
      </w:pPr>
      <w:r>
        <w:separator/>
      </w:r>
    </w:p>
  </w:footnote>
  <w:footnote w:type="continuationSeparator" w:id="0">
    <w:p w:rsidR="00521120" w:rsidRDefault="00521120" w:rsidP="00521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1400"/>
    <w:multiLevelType w:val="hybridMultilevel"/>
    <w:tmpl w:val="DF8CA6EA"/>
    <w:lvl w:ilvl="0" w:tplc="5EBCE648">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F268F4"/>
    <w:multiLevelType w:val="hybridMultilevel"/>
    <w:tmpl w:val="3E080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82"/>
    <w:rsid w:val="00026E04"/>
    <w:rsid w:val="00027C82"/>
    <w:rsid w:val="000A4C3A"/>
    <w:rsid w:val="00117B12"/>
    <w:rsid w:val="00137489"/>
    <w:rsid w:val="0017554C"/>
    <w:rsid w:val="001A4E17"/>
    <w:rsid w:val="001D13EF"/>
    <w:rsid w:val="002463CF"/>
    <w:rsid w:val="002513EA"/>
    <w:rsid w:val="002B3EE7"/>
    <w:rsid w:val="003126DA"/>
    <w:rsid w:val="0032140C"/>
    <w:rsid w:val="00321426"/>
    <w:rsid w:val="00382AAB"/>
    <w:rsid w:val="00387275"/>
    <w:rsid w:val="003E1428"/>
    <w:rsid w:val="004134DD"/>
    <w:rsid w:val="00417868"/>
    <w:rsid w:val="00432771"/>
    <w:rsid w:val="00485452"/>
    <w:rsid w:val="004D7D56"/>
    <w:rsid w:val="004E0CF1"/>
    <w:rsid w:val="00516D12"/>
    <w:rsid w:val="00521120"/>
    <w:rsid w:val="0053717A"/>
    <w:rsid w:val="00570FD5"/>
    <w:rsid w:val="005B004B"/>
    <w:rsid w:val="005F390E"/>
    <w:rsid w:val="00614BFD"/>
    <w:rsid w:val="00633AD4"/>
    <w:rsid w:val="00660657"/>
    <w:rsid w:val="0066127C"/>
    <w:rsid w:val="006D33E6"/>
    <w:rsid w:val="006F6971"/>
    <w:rsid w:val="00725DEF"/>
    <w:rsid w:val="00735B4D"/>
    <w:rsid w:val="0075450E"/>
    <w:rsid w:val="00775AB5"/>
    <w:rsid w:val="007A0E84"/>
    <w:rsid w:val="008068EC"/>
    <w:rsid w:val="008C27B8"/>
    <w:rsid w:val="008E3259"/>
    <w:rsid w:val="008F579D"/>
    <w:rsid w:val="0091678D"/>
    <w:rsid w:val="009D4EFB"/>
    <w:rsid w:val="009D6BE5"/>
    <w:rsid w:val="00A139A1"/>
    <w:rsid w:val="00A37ED3"/>
    <w:rsid w:val="00A71BC6"/>
    <w:rsid w:val="00A74C53"/>
    <w:rsid w:val="00A97A0C"/>
    <w:rsid w:val="00AB7863"/>
    <w:rsid w:val="00AD272F"/>
    <w:rsid w:val="00B12BBB"/>
    <w:rsid w:val="00B6245D"/>
    <w:rsid w:val="00B735B0"/>
    <w:rsid w:val="00C351E5"/>
    <w:rsid w:val="00C4225B"/>
    <w:rsid w:val="00C51E0E"/>
    <w:rsid w:val="00C65EBC"/>
    <w:rsid w:val="00CC50FD"/>
    <w:rsid w:val="00CE64E3"/>
    <w:rsid w:val="00D52E42"/>
    <w:rsid w:val="00DC7594"/>
    <w:rsid w:val="00DE2F36"/>
    <w:rsid w:val="00DF0DC4"/>
    <w:rsid w:val="00E40001"/>
    <w:rsid w:val="00E66483"/>
    <w:rsid w:val="00EA2E5C"/>
    <w:rsid w:val="00F260EA"/>
    <w:rsid w:val="00F43CA5"/>
    <w:rsid w:val="00F51984"/>
    <w:rsid w:val="00F62393"/>
    <w:rsid w:val="00F85CCB"/>
    <w:rsid w:val="00F86AEC"/>
    <w:rsid w:val="00FD2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F530E-5140-414B-BFF1-6A05CFFA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85452"/>
    <w:rPr>
      <w:color w:val="0000FF" w:themeColor="hyperlink"/>
      <w:u w:val="single"/>
    </w:rPr>
  </w:style>
  <w:style w:type="paragraph" w:customStyle="1" w:styleId="a5">
    <w:name w:val="Знак"/>
    <w:basedOn w:val="a"/>
    <w:rsid w:val="004D7D56"/>
    <w:pPr>
      <w:spacing w:after="0" w:line="240" w:lineRule="auto"/>
    </w:pPr>
    <w:rPr>
      <w:rFonts w:ascii="Verdana" w:eastAsia="Times New Roman" w:hAnsi="Verdana" w:cs="Verdana"/>
      <w:sz w:val="20"/>
      <w:szCs w:val="20"/>
      <w:lang w:val="en-US"/>
    </w:rPr>
  </w:style>
  <w:style w:type="paragraph" w:customStyle="1" w:styleId="a6">
    <w:name w:val="Знак"/>
    <w:basedOn w:val="a"/>
    <w:rsid w:val="00F51984"/>
    <w:pPr>
      <w:spacing w:after="0" w:line="240" w:lineRule="auto"/>
    </w:pPr>
    <w:rPr>
      <w:rFonts w:ascii="Verdana" w:eastAsia="Times New Roman" w:hAnsi="Verdana" w:cs="Verdana"/>
      <w:sz w:val="20"/>
      <w:szCs w:val="20"/>
      <w:lang w:val="en-US"/>
    </w:rPr>
  </w:style>
  <w:style w:type="paragraph" w:customStyle="1" w:styleId="a7">
    <w:name w:val="Знак"/>
    <w:basedOn w:val="a"/>
    <w:rsid w:val="00521120"/>
    <w:pPr>
      <w:spacing w:after="0" w:line="240" w:lineRule="auto"/>
    </w:pPr>
    <w:rPr>
      <w:rFonts w:ascii="Verdana" w:eastAsia="Times New Roman" w:hAnsi="Verdana" w:cs="Verdana"/>
      <w:sz w:val="20"/>
      <w:szCs w:val="20"/>
      <w:lang w:val="en-US"/>
    </w:rPr>
  </w:style>
  <w:style w:type="paragraph" w:styleId="a8">
    <w:name w:val="List Paragraph"/>
    <w:basedOn w:val="a"/>
    <w:uiPriority w:val="34"/>
    <w:qFormat/>
    <w:rsid w:val="00521120"/>
    <w:pPr>
      <w:ind w:left="720"/>
      <w:contextualSpacing/>
    </w:pPr>
  </w:style>
  <w:style w:type="paragraph" w:styleId="a9">
    <w:name w:val="header"/>
    <w:basedOn w:val="a"/>
    <w:link w:val="aa"/>
    <w:uiPriority w:val="99"/>
    <w:unhideWhenUsed/>
    <w:rsid w:val="00521120"/>
    <w:pPr>
      <w:tabs>
        <w:tab w:val="center" w:pos="4986"/>
        <w:tab w:val="right" w:pos="9973"/>
      </w:tabs>
      <w:spacing w:after="0" w:line="240" w:lineRule="auto"/>
    </w:pPr>
  </w:style>
  <w:style w:type="character" w:customStyle="1" w:styleId="aa">
    <w:name w:val="Верхний колонтитул Знак"/>
    <w:basedOn w:val="a0"/>
    <w:link w:val="a9"/>
    <w:uiPriority w:val="99"/>
    <w:rsid w:val="00521120"/>
  </w:style>
  <w:style w:type="paragraph" w:styleId="ab">
    <w:name w:val="footer"/>
    <w:basedOn w:val="a"/>
    <w:link w:val="ac"/>
    <w:uiPriority w:val="99"/>
    <w:unhideWhenUsed/>
    <w:rsid w:val="00521120"/>
    <w:pPr>
      <w:tabs>
        <w:tab w:val="center" w:pos="4986"/>
        <w:tab w:val="right" w:pos="9973"/>
      </w:tabs>
      <w:spacing w:after="0" w:line="240" w:lineRule="auto"/>
    </w:pPr>
  </w:style>
  <w:style w:type="character" w:customStyle="1" w:styleId="ac">
    <w:name w:val="Нижний колонтитул Знак"/>
    <w:basedOn w:val="a0"/>
    <w:link w:val="ab"/>
    <w:uiPriority w:val="99"/>
    <w:rsid w:val="00521120"/>
  </w:style>
  <w:style w:type="paragraph" w:customStyle="1" w:styleId="ad">
    <w:name w:val="Знак"/>
    <w:basedOn w:val="a"/>
    <w:rsid w:val="00DF0DC4"/>
    <w:pPr>
      <w:spacing w:after="0" w:line="240" w:lineRule="auto"/>
    </w:pPr>
    <w:rPr>
      <w:rFonts w:ascii="Verdana" w:eastAsia="Times New Roman" w:hAnsi="Verdana" w:cs="Verdana"/>
      <w:sz w:val="20"/>
      <w:szCs w:val="20"/>
      <w:lang w:val="en-US"/>
    </w:rPr>
  </w:style>
  <w:style w:type="paragraph" w:styleId="ae">
    <w:name w:val="Normal (Web)"/>
    <w:basedOn w:val="a"/>
    <w:uiPriority w:val="99"/>
    <w:rsid w:val="00DF0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DF0DC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DF0D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05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tinvestbud@newmir.net" TargetMode="External"/><Relationship Id="rId3" Type="http://schemas.openxmlformats.org/officeDocument/2006/relationships/settings" Target="settings.xml"/><Relationship Id="rId7" Type="http://schemas.openxmlformats.org/officeDocument/2006/relationships/hyperlink" Target="mailto:vatinvestbud@newmi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atinvestbud@newmi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10</Pages>
  <Words>4505</Words>
  <Characters>25683</Characters>
  <Application>Microsoft Office Word</Application>
  <DocSecurity>0</DocSecurity>
  <Lines>214</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Fecha</dc:creator>
  <cp:lastModifiedBy>Sergey</cp:lastModifiedBy>
  <cp:revision>15</cp:revision>
  <cp:lastPrinted>2026-02-26T13:53:00Z</cp:lastPrinted>
  <dcterms:created xsi:type="dcterms:W3CDTF">2024-11-21T10:56:00Z</dcterms:created>
  <dcterms:modified xsi:type="dcterms:W3CDTF">2026-03-02T13:15:00Z</dcterms:modified>
</cp:coreProperties>
</file>